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A8052" w14:textId="77777777" w:rsidR="00DA1AAC" w:rsidRPr="00727AD2" w:rsidRDefault="00DA1AAC" w:rsidP="00DA1AAC">
      <w:pPr>
        <w:pStyle w:val="Default"/>
        <w:spacing w:after="30"/>
        <w:jc w:val="right"/>
        <w:rPr>
          <w:b/>
          <w:bCs/>
          <w:sz w:val="22"/>
          <w:szCs w:val="22"/>
        </w:rPr>
      </w:pPr>
      <w:r>
        <w:rPr>
          <w:b/>
          <w:bCs/>
          <w:sz w:val="22"/>
          <w:szCs w:val="22"/>
        </w:rPr>
        <w:t>A</w:t>
      </w:r>
      <w:r w:rsidRPr="00727AD2">
        <w:rPr>
          <w:b/>
          <w:bCs/>
          <w:sz w:val="22"/>
          <w:szCs w:val="22"/>
        </w:rPr>
        <w:t xml:space="preserve">LLEGATO </w:t>
      </w:r>
      <w:r>
        <w:rPr>
          <w:b/>
          <w:bCs/>
          <w:sz w:val="22"/>
          <w:szCs w:val="22"/>
        </w:rPr>
        <w:t>C</w:t>
      </w:r>
      <w:r w:rsidRPr="00727AD2">
        <w:rPr>
          <w:b/>
          <w:bCs/>
          <w:sz w:val="22"/>
          <w:szCs w:val="22"/>
        </w:rPr>
        <w:t>)</w:t>
      </w:r>
    </w:p>
    <w:p w14:paraId="6249B635" w14:textId="77777777" w:rsidR="00DA1AAC" w:rsidRDefault="00DA1AAC" w:rsidP="00DA1AAC">
      <w:pPr>
        <w:pStyle w:val="Default"/>
        <w:spacing w:after="30"/>
        <w:rPr>
          <w:sz w:val="22"/>
          <w:szCs w:val="22"/>
        </w:rPr>
      </w:pPr>
    </w:p>
    <w:p w14:paraId="40E0092A" w14:textId="298D0E53" w:rsidR="00DA1AAC" w:rsidRDefault="00DA1AAC" w:rsidP="00DA1AAC">
      <w:pPr>
        <w:spacing w:before="100" w:beforeAutospacing="1" w:after="100" w:afterAutospacing="1" w:line="240" w:lineRule="auto"/>
        <w:jc w:val="center"/>
        <w:rPr>
          <w:rFonts w:ascii="Arial" w:eastAsia="Times New Roman" w:hAnsi="Arial" w:cs="Arial"/>
          <w:b/>
          <w:bCs/>
          <w:sz w:val="24"/>
          <w:szCs w:val="24"/>
          <w:lang w:eastAsia="it-IT"/>
        </w:rPr>
      </w:pPr>
      <w:r w:rsidRPr="00DA1AAC">
        <w:rPr>
          <w:rFonts w:ascii="Arial" w:eastAsia="Times New Roman" w:hAnsi="Arial" w:cs="Arial"/>
          <w:b/>
          <w:bCs/>
          <w:sz w:val="24"/>
          <w:szCs w:val="24"/>
          <w:lang w:eastAsia="it-IT"/>
        </w:rPr>
        <w:t xml:space="preserve">Elenco Spese </w:t>
      </w:r>
      <w:proofErr w:type="gramStart"/>
      <w:r w:rsidRPr="00DA1AAC">
        <w:rPr>
          <w:rFonts w:ascii="Arial" w:eastAsia="Times New Roman" w:hAnsi="Arial" w:cs="Arial"/>
          <w:b/>
          <w:bCs/>
          <w:sz w:val="24"/>
          <w:szCs w:val="24"/>
          <w:lang w:eastAsia="it-IT"/>
        </w:rPr>
        <w:t>ammissibili  a</w:t>
      </w:r>
      <w:proofErr w:type="gramEnd"/>
      <w:r w:rsidRPr="00DA1AAC">
        <w:rPr>
          <w:rFonts w:ascii="Arial" w:eastAsia="Times New Roman" w:hAnsi="Arial" w:cs="Arial"/>
          <w:b/>
          <w:bCs/>
          <w:sz w:val="24"/>
          <w:szCs w:val="24"/>
          <w:lang w:eastAsia="it-IT"/>
        </w:rPr>
        <w:t xml:space="preserve"> titolo indicativo</w:t>
      </w:r>
    </w:p>
    <w:p w14:paraId="236B441F" w14:textId="77777777" w:rsidR="00DA1AAC" w:rsidRPr="00DA1AAC" w:rsidRDefault="00DA1AAC" w:rsidP="00DA1AAC">
      <w:pPr>
        <w:spacing w:before="100" w:beforeAutospacing="1" w:after="100" w:afterAutospacing="1" w:line="240" w:lineRule="auto"/>
        <w:jc w:val="center"/>
        <w:rPr>
          <w:rFonts w:ascii="Arial" w:eastAsia="Times New Roman" w:hAnsi="Arial" w:cs="Arial"/>
          <w:sz w:val="24"/>
          <w:szCs w:val="24"/>
          <w:lang w:eastAsia="it-IT"/>
        </w:rPr>
      </w:pPr>
    </w:p>
    <w:p w14:paraId="6DCC5809" w14:textId="77777777" w:rsidR="00DA1AAC" w:rsidRPr="003818E2" w:rsidRDefault="00DA1AAC" w:rsidP="00DA1AAC">
      <w:pPr>
        <w:spacing w:before="100" w:beforeAutospacing="1" w:after="100" w:afterAutospacing="1" w:line="240" w:lineRule="auto"/>
        <w:jc w:val="both"/>
        <w:rPr>
          <w:rFonts w:ascii="Arial" w:eastAsia="Times New Roman" w:hAnsi="Arial" w:cs="Arial"/>
          <w:lang w:eastAsia="it-IT"/>
        </w:rPr>
      </w:pPr>
      <w:r w:rsidRPr="003818E2">
        <w:rPr>
          <w:rFonts w:ascii="Arial" w:eastAsia="Times New Roman" w:hAnsi="Arial" w:cs="Arial"/>
          <w:b/>
          <w:bCs/>
          <w:lang w:eastAsia="it-IT"/>
        </w:rPr>
        <w:t xml:space="preserve">Con riferimento alla tipologia a) previsti all’art. 4 del presente Bando: </w:t>
      </w:r>
    </w:p>
    <w:p w14:paraId="535A51EC" w14:textId="77777777" w:rsidR="00DA1AAC" w:rsidRPr="004A441E" w:rsidRDefault="00DA1AAC" w:rsidP="00DA1AAC">
      <w:pPr>
        <w:numPr>
          <w:ilvl w:val="0"/>
          <w:numId w:val="1"/>
        </w:numPr>
        <w:spacing w:before="100" w:beforeAutospacing="1" w:after="240" w:line="240" w:lineRule="auto"/>
        <w:jc w:val="both"/>
        <w:rPr>
          <w:rFonts w:ascii="Arial" w:eastAsia="Times New Roman" w:hAnsi="Arial" w:cs="Arial"/>
          <w:lang w:eastAsia="it-IT"/>
        </w:rPr>
      </w:pPr>
      <w:r w:rsidRPr="004A441E">
        <w:rPr>
          <w:rFonts w:ascii="Arial" w:eastAsia="Times New Roman" w:hAnsi="Arial" w:cs="Arial"/>
          <w:b/>
          <w:bCs/>
          <w:lang w:eastAsia="it-IT"/>
        </w:rPr>
        <w:t>Sostituzione di serramenti esterni,</w:t>
      </w:r>
      <w:r w:rsidRPr="004A441E">
        <w:rPr>
          <w:rFonts w:ascii="Arial" w:eastAsia="Times New Roman" w:hAnsi="Arial" w:cs="Arial"/>
          <w:lang w:eastAsia="it-IT"/>
        </w:rPr>
        <w:t xml:space="preserve"> da intendersi come chiusure apribili e assimilabili, quali porte, finestre e vetrine anche se non apribili, comprensive degli </w:t>
      </w:r>
      <w:r w:rsidRPr="004A441E">
        <w:rPr>
          <w:rFonts w:ascii="Arial" w:eastAsia="Times New Roman" w:hAnsi="Arial" w:cs="Arial"/>
          <w:b/>
          <w:bCs/>
          <w:lang w:eastAsia="it-IT"/>
        </w:rPr>
        <w:t>infissi</w:t>
      </w:r>
      <w:r w:rsidRPr="004A441E">
        <w:rPr>
          <w:rFonts w:ascii="Arial" w:eastAsia="Times New Roman" w:hAnsi="Arial" w:cs="Arial"/>
          <w:lang w:eastAsia="it-IT"/>
        </w:rPr>
        <w:t xml:space="preserve">, con altri aventi le stesse caratteristiche e non ammissibili </w:t>
      </w:r>
      <w:r w:rsidRPr="004A441E">
        <w:rPr>
          <w:rFonts w:ascii="Arial" w:eastAsia="Times New Roman" w:hAnsi="Arial" w:cs="Arial"/>
          <w:b/>
          <w:bCs/>
          <w:lang w:eastAsia="it-IT"/>
        </w:rPr>
        <w:t>ad altre agevolazioni fiscali</w:t>
      </w:r>
      <w:r w:rsidRPr="004A441E">
        <w:rPr>
          <w:rFonts w:ascii="Arial" w:eastAsia="Times New Roman" w:hAnsi="Arial" w:cs="Arial"/>
          <w:lang w:eastAsia="it-IT"/>
        </w:rPr>
        <w:t>;</w:t>
      </w:r>
    </w:p>
    <w:p w14:paraId="4B059FED" w14:textId="77777777" w:rsidR="00DA1AAC" w:rsidRPr="004A441E" w:rsidRDefault="00DA1AAC" w:rsidP="00DA1AAC">
      <w:pPr>
        <w:numPr>
          <w:ilvl w:val="0"/>
          <w:numId w:val="1"/>
        </w:numPr>
        <w:spacing w:before="100" w:beforeAutospacing="1" w:after="240" w:line="240" w:lineRule="auto"/>
        <w:jc w:val="both"/>
        <w:rPr>
          <w:rFonts w:ascii="Arial" w:eastAsia="Times New Roman" w:hAnsi="Arial" w:cs="Arial"/>
          <w:lang w:eastAsia="it-IT"/>
        </w:rPr>
      </w:pPr>
      <w:r w:rsidRPr="004A441E">
        <w:rPr>
          <w:rFonts w:ascii="Arial" w:eastAsia="Times New Roman" w:hAnsi="Arial" w:cs="Arial"/>
          <w:b/>
          <w:bCs/>
          <w:lang w:eastAsia="it-IT"/>
        </w:rPr>
        <w:t>Sostituzione di serramenti interni (porte interne)</w:t>
      </w:r>
      <w:r w:rsidRPr="004A441E">
        <w:rPr>
          <w:rFonts w:ascii="Arial" w:eastAsia="Times New Roman" w:hAnsi="Arial" w:cs="Arial"/>
          <w:lang w:eastAsia="it-IT"/>
        </w:rPr>
        <w:t xml:space="preserve"> con altri aventi caratteristiche migliorative rispetto a quelle esistenti (in termini di sicurezza,</w:t>
      </w:r>
      <w:r w:rsidRPr="004A441E">
        <w:rPr>
          <w:rFonts w:ascii="Arial" w:eastAsia="Times New Roman" w:hAnsi="Arial" w:cs="Arial"/>
          <w:b/>
          <w:bCs/>
          <w:lang w:eastAsia="it-IT"/>
        </w:rPr>
        <w:t xml:space="preserve"> isolamento acustico</w:t>
      </w:r>
      <w:r w:rsidRPr="004A441E">
        <w:rPr>
          <w:rFonts w:ascii="Arial" w:eastAsia="Times New Roman" w:hAnsi="Arial" w:cs="Arial"/>
          <w:lang w:eastAsia="it-IT"/>
        </w:rPr>
        <w:t>);</w:t>
      </w:r>
    </w:p>
    <w:p w14:paraId="31D53518" w14:textId="77777777" w:rsidR="00DA1AAC" w:rsidRPr="004A441E" w:rsidRDefault="00DA1AAC" w:rsidP="00DA1AAC">
      <w:pPr>
        <w:numPr>
          <w:ilvl w:val="0"/>
          <w:numId w:val="1"/>
        </w:numPr>
        <w:spacing w:before="100" w:beforeAutospacing="1" w:after="240" w:line="240" w:lineRule="auto"/>
        <w:jc w:val="both"/>
        <w:rPr>
          <w:rFonts w:ascii="Arial" w:eastAsia="Times New Roman" w:hAnsi="Arial" w:cs="Arial"/>
          <w:lang w:eastAsia="it-IT"/>
        </w:rPr>
      </w:pPr>
      <w:r w:rsidRPr="004A441E">
        <w:rPr>
          <w:rFonts w:ascii="Arial" w:eastAsia="Times New Roman" w:hAnsi="Arial" w:cs="Arial"/>
          <w:lang w:eastAsia="it-IT"/>
        </w:rPr>
        <w:t>Installazione di nuova pavimentazione o sostituzione della preesistente con modifica della superficie e dei materiali, privilegiando materiali sostenibili provenienti da fonti rinnovabili, tra i quali il legno, anche con riferimento ai pontili galleggianti;</w:t>
      </w:r>
    </w:p>
    <w:p w14:paraId="5B62A612" w14:textId="77777777" w:rsidR="00DA1AAC" w:rsidRPr="004A441E" w:rsidRDefault="00DA1AAC" w:rsidP="00DA1AAC">
      <w:pPr>
        <w:numPr>
          <w:ilvl w:val="0"/>
          <w:numId w:val="1"/>
        </w:numPr>
        <w:spacing w:before="100" w:beforeAutospacing="1" w:after="100" w:afterAutospacing="1" w:line="240" w:lineRule="auto"/>
        <w:jc w:val="both"/>
        <w:rPr>
          <w:rFonts w:ascii="Arial" w:eastAsia="Times New Roman" w:hAnsi="Arial" w:cs="Arial"/>
          <w:lang w:eastAsia="it-IT"/>
        </w:rPr>
      </w:pPr>
      <w:r w:rsidRPr="004A441E">
        <w:rPr>
          <w:rFonts w:ascii="Arial" w:eastAsia="Times New Roman" w:hAnsi="Arial" w:cs="Arial"/>
          <w:lang w:eastAsia="it-IT"/>
        </w:rPr>
        <w:t>Installazione o sostituzione di impianti di comunicazione ed allarme in caso di emergenza e di impianti di prevenzione incendi laddove non obbligatorio dalla normativa vigente.</w:t>
      </w:r>
    </w:p>
    <w:p w14:paraId="7289DDE6" w14:textId="77777777" w:rsidR="00DA1AAC" w:rsidRPr="004A441E" w:rsidRDefault="00DA1AAC" w:rsidP="00DA1AAC">
      <w:pPr>
        <w:spacing w:before="100" w:beforeAutospacing="1" w:after="100" w:afterAutospacing="1" w:line="240" w:lineRule="auto"/>
        <w:jc w:val="both"/>
        <w:rPr>
          <w:rFonts w:ascii="Arial" w:eastAsia="Times New Roman" w:hAnsi="Arial" w:cs="Arial"/>
          <w:lang w:eastAsia="it-IT"/>
        </w:rPr>
      </w:pPr>
      <w:r w:rsidRPr="004A441E">
        <w:rPr>
          <w:rFonts w:ascii="Arial" w:eastAsia="Times New Roman" w:hAnsi="Arial" w:cs="Arial"/>
          <w:b/>
          <w:bCs/>
          <w:lang w:eastAsia="it-IT"/>
        </w:rPr>
        <w:t>Interventi di eliminazione delle barriere architettoniche</w:t>
      </w:r>
      <w:r w:rsidRPr="004A441E">
        <w:rPr>
          <w:rFonts w:ascii="Arial" w:eastAsia="Times New Roman" w:hAnsi="Arial" w:cs="Arial"/>
          <w:lang w:eastAsia="it-IT"/>
        </w:rPr>
        <w:t xml:space="preserve"> (realizzabili sia sulle parti comuni che sulle unità immobiliari), quali:</w:t>
      </w:r>
    </w:p>
    <w:p w14:paraId="2E12A6D5" w14:textId="77777777" w:rsidR="00DA1AAC" w:rsidRPr="004A441E" w:rsidRDefault="00DA1AAC" w:rsidP="00DA1AAC">
      <w:pPr>
        <w:numPr>
          <w:ilvl w:val="0"/>
          <w:numId w:val="2"/>
        </w:numPr>
        <w:spacing w:before="100" w:beforeAutospacing="1" w:after="240" w:line="240" w:lineRule="auto"/>
        <w:jc w:val="both"/>
        <w:rPr>
          <w:rFonts w:ascii="Arial" w:eastAsia="Times New Roman" w:hAnsi="Arial" w:cs="Arial"/>
          <w:lang w:eastAsia="it-IT"/>
        </w:rPr>
      </w:pPr>
      <w:r w:rsidRPr="004A441E">
        <w:rPr>
          <w:rFonts w:ascii="Arial" w:eastAsia="Times New Roman" w:hAnsi="Arial" w:cs="Arial"/>
          <w:lang w:eastAsia="it-IT"/>
        </w:rPr>
        <w:t>Sostituzione di finiture (pavimenti, porte,</w:t>
      </w:r>
      <w:r w:rsidRPr="004A441E">
        <w:rPr>
          <w:rFonts w:ascii="Arial" w:eastAsia="Times New Roman" w:hAnsi="Arial" w:cs="Arial"/>
          <w:b/>
          <w:bCs/>
          <w:lang w:eastAsia="it-IT"/>
        </w:rPr>
        <w:t xml:space="preserve"> infissi esterni</w:t>
      </w:r>
      <w:r w:rsidRPr="004A441E">
        <w:rPr>
          <w:rFonts w:ascii="Arial" w:eastAsia="Times New Roman" w:hAnsi="Arial" w:cs="Arial"/>
          <w:lang w:eastAsia="it-IT"/>
        </w:rPr>
        <w:t>, terminali degli impianti), il rifacimento o l’adeguamento di impianti tecnologici (servizi igienici, impianti elettrici, citofonici, impianti di ascensori, domotica);</w:t>
      </w:r>
    </w:p>
    <w:p w14:paraId="1C9710F9" w14:textId="77777777" w:rsidR="00DA1AAC" w:rsidRPr="004A441E" w:rsidRDefault="00DA1AAC" w:rsidP="00DA1AAC">
      <w:pPr>
        <w:numPr>
          <w:ilvl w:val="0"/>
          <w:numId w:val="2"/>
        </w:numPr>
        <w:spacing w:before="100" w:beforeAutospacing="1" w:after="240" w:line="240" w:lineRule="auto"/>
        <w:jc w:val="both"/>
        <w:rPr>
          <w:rFonts w:ascii="Arial" w:eastAsia="Times New Roman" w:hAnsi="Arial" w:cs="Arial"/>
          <w:lang w:eastAsia="it-IT"/>
        </w:rPr>
      </w:pPr>
      <w:r w:rsidRPr="004A441E">
        <w:rPr>
          <w:rFonts w:ascii="Arial" w:eastAsia="Times New Roman" w:hAnsi="Arial" w:cs="Arial"/>
          <w:lang w:eastAsia="it-IT"/>
        </w:rPr>
        <w:t>Interventi di natura edilizia più rilevante, quali il rifacimento di scale ed ascensori, l’inserimento di rampe interne ed esterne agli edifici e di servoscala o piattaforme elevatrici;</w:t>
      </w:r>
    </w:p>
    <w:p w14:paraId="6A72E0E5" w14:textId="77777777" w:rsidR="00DA1AAC" w:rsidRPr="004A441E" w:rsidRDefault="00DA1AAC" w:rsidP="00DA1AAC">
      <w:pPr>
        <w:numPr>
          <w:ilvl w:val="0"/>
          <w:numId w:val="2"/>
        </w:numPr>
        <w:spacing w:before="100" w:beforeAutospacing="1" w:after="240" w:line="240" w:lineRule="auto"/>
        <w:jc w:val="both"/>
        <w:rPr>
          <w:rFonts w:ascii="Arial" w:eastAsia="Times New Roman" w:hAnsi="Arial" w:cs="Arial"/>
          <w:lang w:eastAsia="it-IT"/>
        </w:rPr>
      </w:pPr>
      <w:r w:rsidRPr="004A441E">
        <w:rPr>
          <w:rFonts w:ascii="Arial" w:eastAsia="Times New Roman" w:hAnsi="Arial" w:cs="Arial"/>
          <w:lang w:eastAsia="it-IT"/>
        </w:rPr>
        <w:t>Realizzazione ex novo di impianti sanitari (inclusa la rubinetteria) dedicati alle persone portatrici di handicap, così come la sostituzione di impianti sanitari esistenti con altri adeguati all’ospitalità delle persone portatrici di handicap;</w:t>
      </w:r>
    </w:p>
    <w:p w14:paraId="542A931F" w14:textId="77777777" w:rsidR="00DA1AAC" w:rsidRPr="004A441E" w:rsidRDefault="00DA1AAC" w:rsidP="00DA1AAC">
      <w:pPr>
        <w:numPr>
          <w:ilvl w:val="0"/>
          <w:numId w:val="2"/>
        </w:numPr>
        <w:spacing w:before="100" w:beforeAutospacing="1" w:after="240" w:line="240" w:lineRule="auto"/>
        <w:jc w:val="both"/>
        <w:rPr>
          <w:rFonts w:ascii="Arial" w:eastAsia="Times New Roman" w:hAnsi="Arial" w:cs="Arial"/>
          <w:lang w:eastAsia="it-IT"/>
        </w:rPr>
      </w:pPr>
      <w:r w:rsidRPr="004A441E">
        <w:rPr>
          <w:rFonts w:ascii="Arial" w:eastAsia="Times New Roman" w:hAnsi="Arial" w:cs="Arial"/>
          <w:b/>
          <w:bCs/>
          <w:lang w:eastAsia="it-IT"/>
        </w:rPr>
        <w:t>Sostituzione di serramenti interni (porte interne, anche di comunicazione)</w:t>
      </w:r>
      <w:r w:rsidRPr="004A441E">
        <w:rPr>
          <w:rFonts w:ascii="Arial" w:eastAsia="Times New Roman" w:hAnsi="Arial" w:cs="Arial"/>
          <w:lang w:eastAsia="it-IT"/>
        </w:rPr>
        <w:t xml:space="preserve"> in concomitanza di interventi volti all’eliminazione delle barriere architettoniche;</w:t>
      </w:r>
    </w:p>
    <w:p w14:paraId="005AF59D" w14:textId="77777777" w:rsidR="00DA1AAC" w:rsidRPr="004A441E" w:rsidRDefault="00DA1AAC" w:rsidP="00DA1AAC">
      <w:pPr>
        <w:numPr>
          <w:ilvl w:val="0"/>
          <w:numId w:val="2"/>
        </w:numPr>
        <w:spacing w:before="100" w:beforeAutospacing="1" w:after="240" w:line="240" w:lineRule="auto"/>
        <w:jc w:val="both"/>
        <w:rPr>
          <w:rFonts w:ascii="Arial" w:eastAsia="Times New Roman" w:hAnsi="Arial" w:cs="Arial"/>
          <w:lang w:eastAsia="it-IT"/>
        </w:rPr>
      </w:pPr>
      <w:r w:rsidRPr="004A441E">
        <w:rPr>
          <w:rFonts w:ascii="Arial" w:eastAsia="Times New Roman" w:hAnsi="Arial" w:cs="Arial"/>
          <w:lang w:eastAsia="it-IT"/>
        </w:rPr>
        <w:t>Installazione di sistemi domotici atti a controllare in remoto l’apertura e chiusura di infissi schermature solari;</w:t>
      </w:r>
    </w:p>
    <w:p w14:paraId="3C8D4A59" w14:textId="77777777" w:rsidR="00DA1AAC" w:rsidRPr="004A441E" w:rsidRDefault="00DA1AAC" w:rsidP="00DA1AAC">
      <w:pPr>
        <w:numPr>
          <w:ilvl w:val="0"/>
          <w:numId w:val="2"/>
        </w:numPr>
        <w:spacing w:before="100" w:beforeAutospacing="1" w:after="100" w:afterAutospacing="1" w:line="240" w:lineRule="auto"/>
        <w:jc w:val="both"/>
        <w:rPr>
          <w:rFonts w:ascii="Arial" w:eastAsia="Times New Roman" w:hAnsi="Arial" w:cs="Arial"/>
          <w:lang w:eastAsia="it-IT"/>
        </w:rPr>
      </w:pPr>
      <w:r w:rsidRPr="004A441E">
        <w:rPr>
          <w:rFonts w:ascii="Arial" w:eastAsia="Times New Roman" w:hAnsi="Arial" w:cs="Arial"/>
          <w:lang w:eastAsia="it-IT"/>
        </w:rPr>
        <w:t>Sistemi e tecnologie volte alla facilitazione della comunicazione ai fini dell’accessibilità</w:t>
      </w:r>
    </w:p>
    <w:p w14:paraId="136A08A9" w14:textId="77777777" w:rsidR="00DA1AAC" w:rsidRPr="00F63326" w:rsidRDefault="00DA1AAC" w:rsidP="00DA1AAC">
      <w:pPr>
        <w:spacing w:before="100" w:beforeAutospacing="1" w:after="100" w:afterAutospacing="1" w:line="240" w:lineRule="auto"/>
        <w:rPr>
          <w:rFonts w:ascii="Arial" w:eastAsia="Times New Roman" w:hAnsi="Arial" w:cs="Arial"/>
          <w:lang w:eastAsia="it-IT"/>
        </w:rPr>
      </w:pPr>
      <w:r w:rsidRPr="00F63326">
        <w:rPr>
          <w:rFonts w:ascii="Arial" w:eastAsia="Times New Roman" w:hAnsi="Arial" w:cs="Arial"/>
          <w:b/>
          <w:bCs/>
          <w:lang w:eastAsia="it-IT"/>
        </w:rPr>
        <w:t xml:space="preserve">Interventi di incremento dell’efficienza energetica: </w:t>
      </w:r>
    </w:p>
    <w:p w14:paraId="65DAF277" w14:textId="77777777" w:rsidR="00DA1AAC" w:rsidRPr="004A441E" w:rsidRDefault="00DA1AAC" w:rsidP="00DA1AAC">
      <w:pPr>
        <w:numPr>
          <w:ilvl w:val="0"/>
          <w:numId w:val="3"/>
        </w:numPr>
        <w:spacing w:before="100" w:beforeAutospacing="1" w:after="240" w:line="240" w:lineRule="auto"/>
        <w:jc w:val="both"/>
        <w:rPr>
          <w:rFonts w:ascii="Arial" w:eastAsia="Times New Roman" w:hAnsi="Arial" w:cs="Arial"/>
          <w:lang w:eastAsia="it-IT"/>
        </w:rPr>
      </w:pPr>
      <w:r w:rsidRPr="004A441E">
        <w:rPr>
          <w:rFonts w:ascii="Arial" w:eastAsia="Times New Roman" w:hAnsi="Arial" w:cs="Arial"/>
          <w:lang w:eastAsia="it-IT"/>
        </w:rPr>
        <w:t>Installazione di schermature solari esterne mobili finalizzate alla riduzione dei consumi per condizionamento estivo;</w:t>
      </w:r>
    </w:p>
    <w:p w14:paraId="1B94AC7A" w14:textId="77777777" w:rsidR="00DA1AAC" w:rsidRPr="003818E2" w:rsidRDefault="00DA1AAC" w:rsidP="00DA1AAC">
      <w:pPr>
        <w:spacing w:before="100" w:beforeAutospacing="1" w:after="100" w:afterAutospacing="1" w:line="240" w:lineRule="auto"/>
        <w:jc w:val="both"/>
        <w:rPr>
          <w:rFonts w:ascii="Arial" w:eastAsia="Times New Roman" w:hAnsi="Arial" w:cs="Arial"/>
          <w:lang w:eastAsia="it-IT"/>
        </w:rPr>
      </w:pPr>
      <w:r w:rsidRPr="00F63326">
        <w:rPr>
          <w:rFonts w:ascii="Arial" w:eastAsia="Times New Roman" w:hAnsi="Arial" w:cs="Arial"/>
          <w:b/>
          <w:bCs/>
          <w:lang w:eastAsia="it-IT"/>
        </w:rPr>
        <w:br/>
      </w:r>
      <w:r w:rsidRPr="003818E2">
        <w:rPr>
          <w:rFonts w:ascii="Arial" w:eastAsia="Times New Roman" w:hAnsi="Arial" w:cs="Arial"/>
          <w:b/>
          <w:bCs/>
          <w:lang w:eastAsia="it-IT"/>
        </w:rPr>
        <w:t>Con riferimento alla tipologia c) prevista all’art. 4 del presente Bando:</w:t>
      </w:r>
    </w:p>
    <w:p w14:paraId="31A997B7" w14:textId="77777777" w:rsidR="00DA1AAC" w:rsidRPr="004A441E" w:rsidRDefault="00DA1AAC" w:rsidP="00DA1AAC">
      <w:pPr>
        <w:numPr>
          <w:ilvl w:val="0"/>
          <w:numId w:val="4"/>
        </w:numPr>
        <w:spacing w:before="100" w:beforeAutospacing="1" w:after="240" w:line="240" w:lineRule="auto"/>
        <w:jc w:val="both"/>
        <w:rPr>
          <w:rFonts w:ascii="Arial" w:eastAsia="Times New Roman" w:hAnsi="Arial" w:cs="Arial"/>
          <w:lang w:eastAsia="it-IT"/>
        </w:rPr>
      </w:pPr>
      <w:r w:rsidRPr="004A441E">
        <w:rPr>
          <w:rFonts w:ascii="Arial" w:eastAsia="Times New Roman" w:hAnsi="Arial" w:cs="Arial"/>
          <w:lang w:eastAsia="it-IT"/>
        </w:rPr>
        <w:t xml:space="preserve">Acquisto, rifacimento o sostituzione di cucine o di attrezzature professionali per la ristorazione, quali, tra l’altro, apparecchiature varie di cottura, forni, armadi frigoriferi e </w:t>
      </w:r>
      <w:r w:rsidRPr="004A441E">
        <w:rPr>
          <w:rFonts w:ascii="Arial" w:eastAsia="Times New Roman" w:hAnsi="Arial" w:cs="Arial"/>
          <w:lang w:eastAsia="it-IT"/>
        </w:rPr>
        <w:lastRenderedPageBreak/>
        <w:t>congelatori, macchine per la preparazione dinamica, elementi per la preparazione statica, macchine per il lavaggio delle stoviglie, macchine per il lavaggio dei tessuti, abbattitori di temperatura, produttori di ghiaccio, con altri aventi caratteristiche migliorative rispetto a quelle esistenti, in termini di sicurezza, efficienza energetica, prestazioni;</w:t>
      </w:r>
    </w:p>
    <w:p w14:paraId="522E27B0" w14:textId="77777777" w:rsidR="00DA1AAC" w:rsidRPr="004A441E" w:rsidRDefault="00DA1AAC" w:rsidP="00DA1AAC">
      <w:pPr>
        <w:numPr>
          <w:ilvl w:val="0"/>
          <w:numId w:val="4"/>
        </w:numPr>
        <w:spacing w:before="100" w:beforeAutospacing="1" w:after="240" w:line="240" w:lineRule="auto"/>
        <w:jc w:val="both"/>
        <w:rPr>
          <w:rFonts w:ascii="Arial" w:eastAsia="Times New Roman" w:hAnsi="Arial" w:cs="Arial"/>
          <w:lang w:eastAsia="it-IT"/>
        </w:rPr>
      </w:pPr>
      <w:r w:rsidRPr="004A441E">
        <w:rPr>
          <w:rFonts w:ascii="Arial" w:eastAsia="Times New Roman" w:hAnsi="Arial" w:cs="Arial"/>
          <w:lang w:eastAsia="it-IT"/>
        </w:rPr>
        <w:t>Acquisto di mobili e di complementi d’arredo da interno e da esterno, quali, tra gli altri, tavoli, scrivanie, sedute imbottite e non, altri manufatti imbottiti, mobili contenitori, letti e materassi, gazebo, pergole, ombrelloni, tende da sole, zanzariere;</w:t>
      </w:r>
    </w:p>
    <w:p w14:paraId="4FB56D78" w14:textId="77777777" w:rsidR="00DA1AAC" w:rsidRPr="004A441E" w:rsidRDefault="00DA1AAC" w:rsidP="00DA1AAC">
      <w:pPr>
        <w:numPr>
          <w:ilvl w:val="0"/>
          <w:numId w:val="4"/>
        </w:numPr>
        <w:spacing w:before="100" w:beforeAutospacing="1" w:after="240" w:line="240" w:lineRule="auto"/>
        <w:jc w:val="both"/>
        <w:rPr>
          <w:rFonts w:ascii="Arial" w:eastAsia="Times New Roman" w:hAnsi="Arial" w:cs="Arial"/>
          <w:lang w:eastAsia="it-IT"/>
        </w:rPr>
      </w:pPr>
      <w:r w:rsidRPr="004A441E">
        <w:rPr>
          <w:rFonts w:ascii="Arial" w:eastAsia="Times New Roman" w:hAnsi="Arial" w:cs="Arial"/>
          <w:lang w:eastAsia="it-IT"/>
        </w:rPr>
        <w:t>Acquisto di mobili fissi, quali, tra gli altri, arredi fissi per bagno, pareti e cabine doccia, cucine componibili, boiserie, pareti interne mobili, apparecchi di illuminazione;</w:t>
      </w:r>
    </w:p>
    <w:p w14:paraId="7E3568F6" w14:textId="77777777" w:rsidR="00DA1AAC" w:rsidRPr="004A441E" w:rsidRDefault="00DA1AAC" w:rsidP="00DA1AAC">
      <w:pPr>
        <w:numPr>
          <w:ilvl w:val="0"/>
          <w:numId w:val="4"/>
        </w:numPr>
        <w:spacing w:before="100" w:beforeAutospacing="1" w:after="240" w:line="240" w:lineRule="auto"/>
        <w:jc w:val="both"/>
        <w:rPr>
          <w:rFonts w:ascii="Arial" w:eastAsia="Times New Roman" w:hAnsi="Arial" w:cs="Arial"/>
          <w:lang w:eastAsia="it-IT"/>
        </w:rPr>
      </w:pPr>
      <w:r w:rsidRPr="004A441E">
        <w:rPr>
          <w:rFonts w:ascii="Arial" w:eastAsia="Times New Roman" w:hAnsi="Arial" w:cs="Arial"/>
          <w:lang w:eastAsia="it-IT"/>
        </w:rPr>
        <w:t>Acquisto di pavimentazioni di sicurezza, arredi e strumentazioni per la convegnistica, attrezzature per parchi giochi e attrezzature sportive pertinenziali;</w:t>
      </w:r>
    </w:p>
    <w:p w14:paraId="6208936F" w14:textId="77777777" w:rsidR="00DA1AAC" w:rsidRPr="004A441E" w:rsidRDefault="00DA1AAC" w:rsidP="00DA1AAC">
      <w:pPr>
        <w:numPr>
          <w:ilvl w:val="0"/>
          <w:numId w:val="4"/>
        </w:numPr>
        <w:spacing w:before="100" w:beforeAutospacing="1" w:after="100" w:afterAutospacing="1" w:line="240" w:lineRule="auto"/>
        <w:jc w:val="both"/>
        <w:rPr>
          <w:rFonts w:ascii="Arial" w:eastAsia="Times New Roman" w:hAnsi="Arial" w:cs="Arial"/>
          <w:lang w:eastAsia="it-IT"/>
        </w:rPr>
      </w:pPr>
      <w:r w:rsidRPr="004A441E">
        <w:rPr>
          <w:rFonts w:ascii="Arial" w:eastAsia="Times New Roman" w:hAnsi="Arial" w:cs="Arial"/>
          <w:lang w:eastAsia="it-IT"/>
        </w:rPr>
        <w:t>Arredi e strumentazioni per la realizzazione di centri benessere ubicati all’interno delle strutture ricettive.</w:t>
      </w:r>
    </w:p>
    <w:p w14:paraId="7E0D0314" w14:textId="77777777" w:rsidR="00DA1AAC" w:rsidRDefault="00DA1AAC" w:rsidP="00DA1AAC">
      <w:pPr>
        <w:rPr>
          <w:rFonts w:ascii="Arial" w:hAnsi="Arial" w:cs="Arial"/>
        </w:rPr>
      </w:pPr>
    </w:p>
    <w:p w14:paraId="543C1CD6" w14:textId="6419F7CB" w:rsidR="00DA1AAC" w:rsidRDefault="00DA1AAC" w:rsidP="00DA1AAC">
      <w:pPr>
        <w:rPr>
          <w:rFonts w:ascii="Arial" w:hAnsi="Arial" w:cs="Arial"/>
          <w:b/>
          <w:bCs/>
        </w:rPr>
      </w:pPr>
      <w:r w:rsidRPr="003818E2">
        <w:rPr>
          <w:rFonts w:ascii="Arial" w:hAnsi="Arial" w:cs="Arial"/>
          <w:b/>
          <w:bCs/>
        </w:rPr>
        <w:t xml:space="preserve">Con riferimento alla tipologia e) </w:t>
      </w:r>
      <w:r w:rsidRPr="003818E2">
        <w:rPr>
          <w:rFonts w:ascii="Arial" w:eastAsia="Times New Roman" w:hAnsi="Arial" w:cs="Arial"/>
          <w:b/>
          <w:bCs/>
          <w:lang w:eastAsia="it-IT"/>
        </w:rPr>
        <w:t>prevista all’art. 4 del presente Bando</w:t>
      </w:r>
      <w:r w:rsidRPr="003818E2">
        <w:rPr>
          <w:rFonts w:ascii="Arial" w:hAnsi="Arial" w:cs="Arial"/>
          <w:b/>
          <w:bCs/>
        </w:rPr>
        <w:t>:</w:t>
      </w:r>
    </w:p>
    <w:p w14:paraId="534406BA" w14:textId="77777777" w:rsidR="00DA1AAC" w:rsidRPr="003818E2" w:rsidRDefault="00DA1AAC" w:rsidP="00DA1AAC">
      <w:pPr>
        <w:rPr>
          <w:rFonts w:ascii="Arial" w:hAnsi="Arial" w:cs="Arial"/>
          <w:b/>
          <w:bCs/>
        </w:rPr>
      </w:pPr>
    </w:p>
    <w:p w14:paraId="212B2046" w14:textId="77777777" w:rsidR="00DA1AAC" w:rsidRPr="004A441E" w:rsidRDefault="00DA1AAC" w:rsidP="00DA1AAC">
      <w:pPr>
        <w:pStyle w:val="Paragrafoelenco"/>
        <w:numPr>
          <w:ilvl w:val="0"/>
          <w:numId w:val="5"/>
        </w:numPr>
        <w:autoSpaceDE w:val="0"/>
        <w:autoSpaceDN w:val="0"/>
        <w:adjustRightInd w:val="0"/>
        <w:spacing w:after="0" w:line="360" w:lineRule="auto"/>
        <w:ind w:left="714" w:hanging="357"/>
        <w:jc w:val="both"/>
        <w:rPr>
          <w:rFonts w:ascii="Arial" w:hAnsi="Arial" w:cs="Arial"/>
        </w:rPr>
      </w:pPr>
      <w:r w:rsidRPr="004A441E">
        <w:rPr>
          <w:rFonts w:ascii="Arial" w:hAnsi="Arial" w:cs="Arial"/>
        </w:rPr>
        <w:t>attività di commercializzazione multimediale e on-line;</w:t>
      </w:r>
    </w:p>
    <w:p w14:paraId="0E81F1CD" w14:textId="77777777" w:rsidR="00DA1AAC" w:rsidRPr="004A441E" w:rsidRDefault="00DA1AAC" w:rsidP="00DA1AAC">
      <w:pPr>
        <w:pStyle w:val="Paragrafoelenco"/>
        <w:numPr>
          <w:ilvl w:val="0"/>
          <w:numId w:val="5"/>
        </w:numPr>
        <w:autoSpaceDE w:val="0"/>
        <w:autoSpaceDN w:val="0"/>
        <w:adjustRightInd w:val="0"/>
        <w:spacing w:after="0" w:line="360" w:lineRule="auto"/>
        <w:ind w:left="714" w:hanging="357"/>
        <w:jc w:val="both"/>
        <w:rPr>
          <w:rFonts w:ascii="Arial" w:hAnsi="Arial" w:cs="Arial"/>
        </w:rPr>
      </w:pPr>
      <w:r w:rsidRPr="004A441E">
        <w:rPr>
          <w:rFonts w:ascii="Arial" w:hAnsi="Arial" w:cs="Arial"/>
        </w:rPr>
        <w:t>partecipazione a fiere, a borse, a saloni, a workshop e a manifestazioni di promozione e di commercializzazione del prodotto turistico anche in modalità virtuale;</w:t>
      </w:r>
    </w:p>
    <w:p w14:paraId="2A260D2E" w14:textId="77777777" w:rsidR="00DA1AAC" w:rsidRPr="004A441E" w:rsidRDefault="00DA1AAC" w:rsidP="00DA1AAC">
      <w:pPr>
        <w:pStyle w:val="Paragrafoelenco"/>
        <w:numPr>
          <w:ilvl w:val="0"/>
          <w:numId w:val="5"/>
        </w:numPr>
        <w:autoSpaceDE w:val="0"/>
        <w:autoSpaceDN w:val="0"/>
        <w:adjustRightInd w:val="0"/>
        <w:spacing w:after="0" w:line="360" w:lineRule="auto"/>
        <w:ind w:left="714" w:hanging="357"/>
        <w:jc w:val="both"/>
        <w:rPr>
          <w:rFonts w:ascii="Arial" w:hAnsi="Arial" w:cs="Arial"/>
        </w:rPr>
      </w:pPr>
      <w:r w:rsidRPr="004A441E">
        <w:rPr>
          <w:rFonts w:ascii="Arial" w:hAnsi="Arial" w:cs="Arial"/>
        </w:rPr>
        <w:t xml:space="preserve">organizzazione e realizzazione di </w:t>
      </w:r>
      <w:r w:rsidRPr="004A441E">
        <w:rPr>
          <w:rFonts w:ascii="Arial" w:hAnsi="Arial" w:cs="Arial"/>
          <w:i/>
          <w:iCs/>
        </w:rPr>
        <w:t>educational tour e workshop</w:t>
      </w:r>
      <w:r w:rsidRPr="004A441E">
        <w:rPr>
          <w:rFonts w:ascii="Arial" w:hAnsi="Arial" w:cs="Arial"/>
        </w:rPr>
        <w:t xml:space="preserve">, rivolti agli operatori di settore, giornalisti e </w:t>
      </w:r>
      <w:r w:rsidRPr="004A441E">
        <w:rPr>
          <w:rFonts w:ascii="Arial" w:hAnsi="Arial" w:cs="Arial"/>
          <w:i/>
          <w:iCs/>
        </w:rPr>
        <w:t>blogger</w:t>
      </w:r>
      <w:r w:rsidRPr="004A441E">
        <w:rPr>
          <w:rFonts w:ascii="Arial" w:hAnsi="Arial" w:cs="Arial"/>
        </w:rPr>
        <w:t>;</w:t>
      </w:r>
    </w:p>
    <w:p w14:paraId="10D47109" w14:textId="77777777" w:rsidR="00DA1AAC" w:rsidRPr="004A441E" w:rsidRDefault="00DA1AAC" w:rsidP="00DA1AAC">
      <w:pPr>
        <w:pStyle w:val="Paragrafoelenco"/>
        <w:numPr>
          <w:ilvl w:val="0"/>
          <w:numId w:val="5"/>
        </w:numPr>
        <w:autoSpaceDE w:val="0"/>
        <w:autoSpaceDN w:val="0"/>
        <w:adjustRightInd w:val="0"/>
        <w:spacing w:after="0" w:line="360" w:lineRule="auto"/>
        <w:ind w:left="714" w:hanging="357"/>
        <w:jc w:val="both"/>
        <w:rPr>
          <w:rFonts w:ascii="Arial" w:hAnsi="Arial" w:cs="Arial"/>
        </w:rPr>
      </w:pPr>
      <w:r w:rsidRPr="004A441E">
        <w:rPr>
          <w:rFonts w:ascii="Arial" w:hAnsi="Arial" w:cs="Arial"/>
        </w:rPr>
        <w:t>organizzazione di incontri di promozione commerciale del prodotto turistico con agenti di viaggio, organizzazioni turistiche e del tempo libero, organizzazioni degli utenti nonché consumatori finali;</w:t>
      </w:r>
    </w:p>
    <w:p w14:paraId="41011925" w14:textId="77777777" w:rsidR="00DA1AAC" w:rsidRPr="004A441E" w:rsidRDefault="00DA1AAC" w:rsidP="00DA1AAC">
      <w:pPr>
        <w:pStyle w:val="Paragrafoelenco"/>
        <w:numPr>
          <w:ilvl w:val="0"/>
          <w:numId w:val="5"/>
        </w:numPr>
        <w:autoSpaceDE w:val="0"/>
        <w:autoSpaceDN w:val="0"/>
        <w:adjustRightInd w:val="0"/>
        <w:spacing w:after="0" w:line="360" w:lineRule="auto"/>
        <w:ind w:left="714" w:hanging="357"/>
        <w:jc w:val="both"/>
        <w:rPr>
          <w:rFonts w:ascii="Arial" w:hAnsi="Arial" w:cs="Arial"/>
        </w:rPr>
      </w:pPr>
      <w:r w:rsidRPr="004A441E">
        <w:rPr>
          <w:rFonts w:ascii="Arial" w:hAnsi="Arial" w:cs="Arial"/>
        </w:rPr>
        <w:t>Progettazione e realizzazione di piani di commercializzazione e marketing all’estero.</w:t>
      </w:r>
    </w:p>
    <w:p w14:paraId="622E8717" w14:textId="77777777" w:rsidR="00DA1AAC" w:rsidRPr="004A441E" w:rsidRDefault="00DA1AAC" w:rsidP="00DA1AAC">
      <w:pPr>
        <w:rPr>
          <w:rFonts w:ascii="Arial" w:hAnsi="Arial" w:cs="Arial"/>
        </w:rPr>
      </w:pPr>
    </w:p>
    <w:p w14:paraId="2E0177B7" w14:textId="77777777" w:rsidR="00DA1AAC" w:rsidRPr="00F63326" w:rsidRDefault="00DA1AAC" w:rsidP="00DA1AAC">
      <w:pPr>
        <w:rPr>
          <w:rFonts w:ascii="Arial" w:hAnsi="Arial" w:cs="Arial"/>
        </w:rPr>
      </w:pPr>
    </w:p>
    <w:p w14:paraId="23AFC969" w14:textId="77777777" w:rsidR="00DA1AAC" w:rsidRDefault="00DA1AAC"/>
    <w:sectPr w:rsidR="00DA1AAC">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21CD8" w14:textId="77777777" w:rsidR="00B953D0" w:rsidRDefault="00B953D0" w:rsidP="00DA1AAC">
      <w:pPr>
        <w:spacing w:after="0" w:line="240" w:lineRule="auto"/>
      </w:pPr>
      <w:r>
        <w:separator/>
      </w:r>
    </w:p>
  </w:endnote>
  <w:endnote w:type="continuationSeparator" w:id="0">
    <w:p w14:paraId="6146749C" w14:textId="77777777" w:rsidR="00B953D0" w:rsidRDefault="00B953D0" w:rsidP="00DA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8378256"/>
      <w:docPartObj>
        <w:docPartGallery w:val="Page Numbers (Bottom of Page)"/>
        <w:docPartUnique/>
      </w:docPartObj>
    </w:sdtPr>
    <w:sdtContent>
      <w:p w14:paraId="08171D6B" w14:textId="480C6177" w:rsidR="00DA1AAC" w:rsidRDefault="00DA1AAC">
        <w:pPr>
          <w:pStyle w:val="Pidipagina"/>
          <w:jc w:val="center"/>
        </w:pPr>
        <w:r>
          <w:fldChar w:fldCharType="begin"/>
        </w:r>
        <w:r>
          <w:instrText>PAGE   \* MERGEFORMAT</w:instrText>
        </w:r>
        <w:r>
          <w:fldChar w:fldCharType="separate"/>
        </w:r>
        <w:r>
          <w:t>2</w:t>
        </w:r>
        <w:r>
          <w:fldChar w:fldCharType="end"/>
        </w:r>
      </w:p>
    </w:sdtContent>
  </w:sdt>
  <w:p w14:paraId="49D8A132" w14:textId="77777777" w:rsidR="00DA1AAC" w:rsidRDefault="00DA1A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8BEC7" w14:textId="77777777" w:rsidR="00B953D0" w:rsidRDefault="00B953D0" w:rsidP="00DA1AAC">
      <w:pPr>
        <w:spacing w:after="0" w:line="240" w:lineRule="auto"/>
      </w:pPr>
      <w:r>
        <w:separator/>
      </w:r>
    </w:p>
  </w:footnote>
  <w:footnote w:type="continuationSeparator" w:id="0">
    <w:p w14:paraId="0B19ED0F" w14:textId="77777777" w:rsidR="00B953D0" w:rsidRDefault="00B953D0" w:rsidP="00DA1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B430F"/>
    <w:multiLevelType w:val="multilevel"/>
    <w:tmpl w:val="D6308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9B2950"/>
    <w:multiLevelType w:val="hybridMultilevel"/>
    <w:tmpl w:val="25BAA95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B31ECC"/>
    <w:multiLevelType w:val="multilevel"/>
    <w:tmpl w:val="7504A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0C5A4E"/>
    <w:multiLevelType w:val="multilevel"/>
    <w:tmpl w:val="63262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C65003"/>
    <w:multiLevelType w:val="multilevel"/>
    <w:tmpl w:val="B8923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AC"/>
    <w:rsid w:val="00B953D0"/>
    <w:rsid w:val="00DA1A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9393"/>
  <w15:chartTrackingRefBased/>
  <w15:docId w15:val="{14061B31-CF03-4B78-BF08-4B610DBC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1A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A1AAC"/>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34"/>
    <w:qFormat/>
    <w:rsid w:val="00DA1AAC"/>
    <w:pPr>
      <w:ind w:left="720"/>
      <w:contextualSpacing/>
    </w:pPr>
  </w:style>
  <w:style w:type="paragraph" w:styleId="Intestazione">
    <w:name w:val="header"/>
    <w:basedOn w:val="Normale"/>
    <w:link w:val="IntestazioneCarattere"/>
    <w:uiPriority w:val="99"/>
    <w:unhideWhenUsed/>
    <w:rsid w:val="00DA1A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1AAC"/>
  </w:style>
  <w:style w:type="paragraph" w:styleId="Pidipagina">
    <w:name w:val="footer"/>
    <w:basedOn w:val="Normale"/>
    <w:link w:val="PidipaginaCarattere"/>
    <w:uiPriority w:val="99"/>
    <w:unhideWhenUsed/>
    <w:rsid w:val="00DA1A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1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3711</Characters>
  <Application>Microsoft Office Word</Application>
  <DocSecurity>0</DocSecurity>
  <Lines>30</Lines>
  <Paragraphs>8</Paragraphs>
  <ScaleCrop>false</ScaleCrop>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marini</dc:creator>
  <cp:keywords/>
  <dc:description/>
  <cp:lastModifiedBy>mauro marini</cp:lastModifiedBy>
  <cp:revision>1</cp:revision>
  <dcterms:created xsi:type="dcterms:W3CDTF">2021-03-29T07:28:00Z</dcterms:created>
  <dcterms:modified xsi:type="dcterms:W3CDTF">2021-03-29T07:29:00Z</dcterms:modified>
</cp:coreProperties>
</file>