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6FE55" w14:textId="7524DA1B" w:rsidR="005D49F8" w:rsidRPr="00C5031B" w:rsidRDefault="005D49F8" w:rsidP="005D49F8">
      <w:pPr>
        <w:jc w:val="right"/>
        <w:rPr>
          <w:i/>
          <w:iCs/>
        </w:rPr>
      </w:pPr>
      <w:r w:rsidRPr="00C5031B">
        <w:rPr>
          <w:i/>
          <w:iCs/>
        </w:rPr>
        <w:t>Allegato 1</w:t>
      </w:r>
    </w:p>
    <w:tbl>
      <w:tblPr>
        <w:tblW w:w="5000" w:type="pct"/>
        <w:shd w:val="clear" w:color="auto" w:fill="FFFFFF"/>
        <w:tblCellMar>
          <w:left w:w="0" w:type="dxa"/>
          <w:right w:w="0" w:type="dxa"/>
        </w:tblCellMar>
        <w:tblLook w:val="04A0" w:firstRow="1" w:lastRow="0" w:firstColumn="1" w:lastColumn="0" w:noHBand="0" w:noVBand="1"/>
      </w:tblPr>
      <w:tblGrid>
        <w:gridCol w:w="1892"/>
        <w:gridCol w:w="376"/>
        <w:gridCol w:w="6119"/>
        <w:gridCol w:w="1251"/>
      </w:tblGrid>
      <w:tr w:rsidR="005D49F8" w:rsidRPr="00782DF0" w14:paraId="409520A3" w14:textId="77777777" w:rsidTr="0003605E">
        <w:tc>
          <w:tcPr>
            <w:tcW w:w="0" w:type="auto"/>
            <w:shd w:val="clear" w:color="auto" w:fill="FFFFFF"/>
            <w:vAlign w:val="center"/>
            <w:hideMark/>
          </w:tcPr>
          <w:p w14:paraId="5BF80B52" w14:textId="77777777" w:rsidR="005D49F8" w:rsidRPr="00782DF0" w:rsidRDefault="005D49F8" w:rsidP="0003605E">
            <w:pPr>
              <w:spacing w:before="120" w:after="120" w:line="312" w:lineRule="atLeast"/>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26.6.2014   </w:t>
            </w:r>
          </w:p>
        </w:tc>
        <w:tc>
          <w:tcPr>
            <w:tcW w:w="0" w:type="auto"/>
            <w:shd w:val="clear" w:color="auto" w:fill="FFFFFF"/>
            <w:vAlign w:val="center"/>
            <w:hideMark/>
          </w:tcPr>
          <w:p w14:paraId="55D74026" w14:textId="77777777" w:rsidR="005D49F8" w:rsidRPr="00782DF0" w:rsidRDefault="005D49F8" w:rsidP="0003605E">
            <w:pPr>
              <w:pBdr>
                <w:top w:val="single" w:sz="6" w:space="0" w:color="000000"/>
                <w:left w:val="single" w:sz="6" w:space="0" w:color="000000"/>
                <w:bottom w:val="single" w:sz="6" w:space="0" w:color="000000"/>
                <w:right w:val="single" w:sz="6" w:space="0" w:color="000000"/>
              </w:pBdr>
              <w:spacing w:before="120" w:after="120" w:line="312" w:lineRule="atLeast"/>
              <w:jc w:val="center"/>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IT</w:t>
            </w:r>
          </w:p>
        </w:tc>
        <w:tc>
          <w:tcPr>
            <w:tcW w:w="0" w:type="auto"/>
            <w:shd w:val="clear" w:color="auto" w:fill="FFFFFF"/>
            <w:vAlign w:val="center"/>
            <w:hideMark/>
          </w:tcPr>
          <w:p w14:paraId="3DC4D935" w14:textId="77777777" w:rsidR="005D49F8" w:rsidRPr="00782DF0" w:rsidRDefault="005D49F8" w:rsidP="0003605E">
            <w:pPr>
              <w:spacing w:before="120" w:after="120" w:line="312" w:lineRule="atLeast"/>
              <w:jc w:val="center"/>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Gazzetta ufficiale dell'Unione europea</w:t>
            </w:r>
          </w:p>
        </w:tc>
        <w:tc>
          <w:tcPr>
            <w:tcW w:w="0" w:type="auto"/>
            <w:shd w:val="clear" w:color="auto" w:fill="FFFFFF"/>
            <w:vAlign w:val="center"/>
            <w:hideMark/>
          </w:tcPr>
          <w:p w14:paraId="43CD9335" w14:textId="77777777" w:rsidR="005D49F8" w:rsidRPr="00782DF0" w:rsidRDefault="005D49F8" w:rsidP="0003605E">
            <w:pPr>
              <w:spacing w:before="120" w:after="120" w:line="312" w:lineRule="atLeast"/>
              <w:jc w:val="right"/>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L 187/1</w:t>
            </w:r>
          </w:p>
        </w:tc>
      </w:tr>
    </w:tbl>
    <w:p w14:paraId="3411D286" w14:textId="77777777" w:rsidR="005D49F8" w:rsidRPr="00782DF0" w:rsidRDefault="00DC0E5C" w:rsidP="005D49F8">
      <w:pPr>
        <w:spacing w:before="60" w:after="6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pict w14:anchorId="4A06ACFB">
          <v:rect id="_x0000_i1025" style="width:645pt;height:.75pt" o:hrpct="0" o:hralign="center" o:hrstd="t" o:hrnoshade="t" o:hr="t" fillcolor="black" stroked="f"/>
        </w:pict>
      </w:r>
    </w:p>
    <w:p w14:paraId="2AC63932" w14:textId="77777777" w:rsidR="005D49F8" w:rsidRPr="00782DF0" w:rsidRDefault="005D49F8" w:rsidP="005D49F8">
      <w:pPr>
        <w:shd w:val="clear" w:color="auto" w:fill="FFFFFF"/>
        <w:spacing w:before="24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REGOLAMENTO (UE) N. 651/2014 DELLA COMMISSIONE</w:t>
      </w:r>
    </w:p>
    <w:p w14:paraId="118CF6D4" w14:textId="77777777" w:rsidR="005D49F8" w:rsidRPr="00782DF0" w:rsidRDefault="005D49F8" w:rsidP="005D49F8">
      <w:pPr>
        <w:shd w:val="clear" w:color="auto" w:fill="FFFFFF"/>
        <w:spacing w:before="24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del 17 giugno 2014</w:t>
      </w:r>
    </w:p>
    <w:p w14:paraId="67E5D750" w14:textId="77777777" w:rsidR="005D49F8" w:rsidRPr="00782DF0" w:rsidRDefault="005D49F8" w:rsidP="005D49F8">
      <w:pPr>
        <w:shd w:val="clear" w:color="auto" w:fill="FFFFFF"/>
        <w:spacing w:before="24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che dichiara alcune categorie di aiuti compatibili con il mercato interno in applicazione degli articoli 107 e 108 del trattato</w:t>
      </w:r>
    </w:p>
    <w:p w14:paraId="53AD889A" w14:textId="77777777" w:rsidR="005D49F8" w:rsidRPr="00782DF0" w:rsidRDefault="005D49F8" w:rsidP="005D49F8">
      <w:pPr>
        <w:shd w:val="clear" w:color="auto" w:fill="FFFFFF"/>
        <w:spacing w:before="24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ALLEGATO I</w:t>
      </w:r>
    </w:p>
    <w:p w14:paraId="435E4E4B" w14:textId="77777777" w:rsidR="005D49F8" w:rsidRPr="00782DF0" w:rsidRDefault="005D49F8" w:rsidP="005D49F8">
      <w:pPr>
        <w:shd w:val="clear" w:color="auto" w:fill="FFFFFF"/>
        <w:spacing w:before="24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Definizione di PMI</w:t>
      </w:r>
    </w:p>
    <w:p w14:paraId="13EE5EA1" w14:textId="77777777" w:rsidR="005D49F8" w:rsidRPr="00782DF0" w:rsidRDefault="005D49F8" w:rsidP="005D49F8">
      <w:pPr>
        <w:shd w:val="clear" w:color="auto" w:fill="FFFFFF"/>
        <w:spacing w:before="360" w:after="120" w:line="312" w:lineRule="atLeast"/>
        <w:jc w:val="center"/>
        <w:rPr>
          <w:rFonts w:ascii="Times New Roman" w:eastAsia="Times New Roman" w:hAnsi="Times New Roman" w:cs="Times New Roman"/>
          <w:i/>
          <w:iCs/>
          <w:color w:val="444444"/>
          <w:sz w:val="27"/>
          <w:szCs w:val="27"/>
          <w:lang w:eastAsia="it-IT"/>
        </w:rPr>
      </w:pPr>
      <w:r w:rsidRPr="00782DF0">
        <w:rPr>
          <w:rFonts w:ascii="Times New Roman" w:eastAsia="Times New Roman" w:hAnsi="Times New Roman" w:cs="Times New Roman"/>
          <w:i/>
          <w:iCs/>
          <w:color w:val="444444"/>
          <w:sz w:val="27"/>
          <w:szCs w:val="27"/>
          <w:lang w:eastAsia="it-IT"/>
        </w:rPr>
        <w:t>Articolo 1</w:t>
      </w:r>
    </w:p>
    <w:p w14:paraId="3AB0EFA0" w14:textId="77777777" w:rsidR="005D49F8" w:rsidRPr="00782DF0" w:rsidRDefault="005D49F8" w:rsidP="005D49F8">
      <w:pPr>
        <w:shd w:val="clear" w:color="auto" w:fill="FFFFFF"/>
        <w:spacing w:before="6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Impresa</w:t>
      </w:r>
    </w:p>
    <w:p w14:paraId="30E59C40"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Si considera impresa qualsiasi entità che eserciti un'attività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w:t>
      </w:r>
    </w:p>
    <w:p w14:paraId="73A815E5" w14:textId="77777777" w:rsidR="005D49F8" w:rsidRPr="00782DF0" w:rsidRDefault="005D49F8" w:rsidP="005D49F8">
      <w:pPr>
        <w:shd w:val="clear" w:color="auto" w:fill="FFFFFF"/>
        <w:spacing w:before="360" w:after="120" w:line="312" w:lineRule="atLeast"/>
        <w:jc w:val="center"/>
        <w:rPr>
          <w:rFonts w:ascii="Times New Roman" w:eastAsia="Times New Roman" w:hAnsi="Times New Roman" w:cs="Times New Roman"/>
          <w:i/>
          <w:iCs/>
          <w:color w:val="444444"/>
          <w:sz w:val="27"/>
          <w:szCs w:val="27"/>
          <w:lang w:eastAsia="it-IT"/>
        </w:rPr>
      </w:pPr>
      <w:r w:rsidRPr="00782DF0">
        <w:rPr>
          <w:rFonts w:ascii="Times New Roman" w:eastAsia="Times New Roman" w:hAnsi="Times New Roman" w:cs="Times New Roman"/>
          <w:i/>
          <w:iCs/>
          <w:color w:val="444444"/>
          <w:sz w:val="27"/>
          <w:szCs w:val="27"/>
          <w:lang w:eastAsia="it-IT"/>
        </w:rPr>
        <w:t>Articolo 2</w:t>
      </w:r>
    </w:p>
    <w:p w14:paraId="125CD972" w14:textId="77777777" w:rsidR="005D49F8" w:rsidRPr="00782DF0" w:rsidRDefault="005D49F8" w:rsidP="005D49F8">
      <w:pPr>
        <w:shd w:val="clear" w:color="auto" w:fill="FFFFFF"/>
        <w:spacing w:before="6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Effettivi e soglie finanziarie che definiscono le categorie di imprese</w:t>
      </w:r>
    </w:p>
    <w:p w14:paraId="0F0EA995"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1.   La categoria delle microimprese, delle piccole imprese e delle medie imprese (PMI) è costituita da imprese che occupano meno di 250 persone, il cui fatturato annuo non supera i 50 milioni di EUR e/o il cui totale di bilancio annuo non supera i 43 milioni di EUR.</w:t>
      </w:r>
    </w:p>
    <w:p w14:paraId="408C7153"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2.   All'interno della categoria delle PMI, si definisce piccola impresa un'impresa che occupa meno di 50 persone e che realizza un fatturato annuo e/o un totale di bilancio annuo non superiori a 10 milioni di EUR.</w:t>
      </w:r>
    </w:p>
    <w:p w14:paraId="66E45FD5"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3.   All'interno della categoria delle PMI, si definisce microimpresa un'impresa che occupa meno di 10 persone e che realizza un fatturato annuo e/o un totale di bilancio annuo non superiori a 2 milioni di EUR.</w:t>
      </w:r>
    </w:p>
    <w:p w14:paraId="623D50AF" w14:textId="77777777" w:rsidR="005D49F8" w:rsidRPr="00782DF0" w:rsidRDefault="005D49F8" w:rsidP="005D49F8">
      <w:pPr>
        <w:shd w:val="clear" w:color="auto" w:fill="FFFFFF"/>
        <w:spacing w:before="360" w:after="120" w:line="312" w:lineRule="atLeast"/>
        <w:jc w:val="center"/>
        <w:rPr>
          <w:rFonts w:ascii="Times New Roman" w:eastAsia="Times New Roman" w:hAnsi="Times New Roman" w:cs="Times New Roman"/>
          <w:i/>
          <w:iCs/>
          <w:color w:val="444444"/>
          <w:sz w:val="27"/>
          <w:szCs w:val="27"/>
          <w:lang w:eastAsia="it-IT"/>
        </w:rPr>
      </w:pPr>
      <w:r w:rsidRPr="00782DF0">
        <w:rPr>
          <w:rFonts w:ascii="Times New Roman" w:eastAsia="Times New Roman" w:hAnsi="Times New Roman" w:cs="Times New Roman"/>
          <w:i/>
          <w:iCs/>
          <w:color w:val="444444"/>
          <w:sz w:val="27"/>
          <w:szCs w:val="27"/>
          <w:lang w:eastAsia="it-IT"/>
        </w:rPr>
        <w:t>Articolo 3</w:t>
      </w:r>
    </w:p>
    <w:p w14:paraId="654D2F66" w14:textId="77777777" w:rsidR="005D49F8" w:rsidRPr="00782DF0" w:rsidRDefault="005D49F8" w:rsidP="005D49F8">
      <w:pPr>
        <w:shd w:val="clear" w:color="auto" w:fill="FFFFFF"/>
        <w:spacing w:before="6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Tipi di imprese considerati ai fini del calcolo degli effettivi e degli importi finanziari</w:t>
      </w:r>
    </w:p>
    <w:p w14:paraId="5D20567C"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1.   Si definisce «impresa autonoma» qualsiasi impresa non classificata come impresa associata ai sensi del paragrafo 2 oppure come impresa collegata ai sensi del paragrafo 3.</w:t>
      </w:r>
    </w:p>
    <w:p w14:paraId="3CA2CB9B"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 xml:space="preserve">2.   Si definiscono «imprese associate» tutte le imprese non classificate come imprese collegate ai sensi del paragrafo 3 e tra le quali esiste la relazione seguente: un'impresa (impresa a monte) detiene, da sola o insieme a una o più imprese collegate ai sensi del </w:t>
      </w:r>
      <w:r w:rsidRPr="00782DF0">
        <w:rPr>
          <w:rFonts w:ascii="Times New Roman" w:eastAsia="Times New Roman" w:hAnsi="Times New Roman" w:cs="Times New Roman"/>
          <w:color w:val="444444"/>
          <w:sz w:val="27"/>
          <w:szCs w:val="27"/>
          <w:lang w:eastAsia="it-IT"/>
        </w:rPr>
        <w:lastRenderedPageBreak/>
        <w:t>paragrafo 3, almeno il 25 % del capitale o dei diritti di voto di un'altra impresa (impresa a valle).</w:t>
      </w:r>
    </w:p>
    <w:p w14:paraId="4C69DD1D"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Un'impresa può tuttavia essere definita autonoma, dunque priva di imprese associate, anche se viene raggiunta o superata la soglia del 25 % dalle categorie di investitori elencate qui di seguito, a condizione che tali investitori non siano individualmente o congiuntamente collegati ai sensi del paragrafo 3 con l'impresa in questione:</w:t>
      </w:r>
    </w:p>
    <w:tbl>
      <w:tblPr>
        <w:tblW w:w="5000" w:type="pct"/>
        <w:shd w:val="clear" w:color="auto" w:fill="FFFFFF"/>
        <w:tblCellMar>
          <w:left w:w="0" w:type="dxa"/>
          <w:right w:w="0" w:type="dxa"/>
        </w:tblCellMar>
        <w:tblLook w:val="04A0" w:firstRow="1" w:lastRow="0" w:firstColumn="1" w:lastColumn="0" w:noHBand="0" w:noVBand="1"/>
      </w:tblPr>
      <w:tblGrid>
        <w:gridCol w:w="210"/>
        <w:gridCol w:w="9428"/>
      </w:tblGrid>
      <w:tr w:rsidR="005D49F8" w:rsidRPr="00782DF0" w14:paraId="082BB650" w14:textId="77777777" w:rsidTr="0003605E">
        <w:tc>
          <w:tcPr>
            <w:tcW w:w="0" w:type="auto"/>
            <w:shd w:val="clear" w:color="auto" w:fill="FFFFFF"/>
            <w:hideMark/>
          </w:tcPr>
          <w:p w14:paraId="14547947"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a)</w:t>
            </w:r>
          </w:p>
        </w:tc>
        <w:tc>
          <w:tcPr>
            <w:tcW w:w="0" w:type="auto"/>
            <w:shd w:val="clear" w:color="auto" w:fill="FFFFFF"/>
            <w:hideMark/>
          </w:tcPr>
          <w:p w14:paraId="07BD672C"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società pubbliche di partecipazione, società di capitale di rischio, persone fisiche o gruppi di persone fisiche esercitanti regolare attività di investimento in capitali di rischio che investono fondi propri in imprese non quotate («business angels»), a condizione che il totale investito dai suddetti «business angels» in una stessa impresa non superi 1 250 000 EUR;</w:t>
            </w:r>
          </w:p>
        </w:tc>
      </w:tr>
    </w:tbl>
    <w:p w14:paraId="0FFDDECD"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388"/>
        <w:gridCol w:w="9250"/>
      </w:tblGrid>
      <w:tr w:rsidR="005D49F8" w:rsidRPr="00782DF0" w14:paraId="6EEC104B" w14:textId="77777777" w:rsidTr="0003605E">
        <w:tc>
          <w:tcPr>
            <w:tcW w:w="0" w:type="auto"/>
            <w:shd w:val="clear" w:color="auto" w:fill="FFFFFF"/>
            <w:hideMark/>
          </w:tcPr>
          <w:p w14:paraId="195919BE"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b)</w:t>
            </w:r>
          </w:p>
        </w:tc>
        <w:tc>
          <w:tcPr>
            <w:tcW w:w="0" w:type="auto"/>
            <w:shd w:val="clear" w:color="auto" w:fill="FFFFFF"/>
            <w:hideMark/>
          </w:tcPr>
          <w:p w14:paraId="0A3D5B81"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università o centri di ricerca senza scopo di lucro;</w:t>
            </w:r>
          </w:p>
        </w:tc>
      </w:tr>
    </w:tbl>
    <w:p w14:paraId="713A026E"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90"/>
        <w:gridCol w:w="9348"/>
      </w:tblGrid>
      <w:tr w:rsidR="005D49F8" w:rsidRPr="00782DF0" w14:paraId="7BCB28E8" w14:textId="77777777" w:rsidTr="0003605E">
        <w:tc>
          <w:tcPr>
            <w:tcW w:w="0" w:type="auto"/>
            <w:shd w:val="clear" w:color="auto" w:fill="FFFFFF"/>
            <w:hideMark/>
          </w:tcPr>
          <w:p w14:paraId="597C3975"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c)</w:t>
            </w:r>
          </w:p>
        </w:tc>
        <w:tc>
          <w:tcPr>
            <w:tcW w:w="0" w:type="auto"/>
            <w:shd w:val="clear" w:color="auto" w:fill="FFFFFF"/>
            <w:hideMark/>
          </w:tcPr>
          <w:p w14:paraId="0DB53551"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investitori istituzionali, compresi i fondi di sviluppo regionale;</w:t>
            </w:r>
          </w:p>
        </w:tc>
      </w:tr>
    </w:tbl>
    <w:p w14:paraId="3BED4D3C"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25"/>
        <w:gridCol w:w="9413"/>
      </w:tblGrid>
      <w:tr w:rsidR="005D49F8" w:rsidRPr="00782DF0" w14:paraId="4F0625F1" w14:textId="77777777" w:rsidTr="0003605E">
        <w:tc>
          <w:tcPr>
            <w:tcW w:w="0" w:type="auto"/>
            <w:shd w:val="clear" w:color="auto" w:fill="FFFFFF"/>
            <w:hideMark/>
          </w:tcPr>
          <w:p w14:paraId="19B8C181"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w:t>
            </w:r>
          </w:p>
        </w:tc>
        <w:tc>
          <w:tcPr>
            <w:tcW w:w="0" w:type="auto"/>
            <w:shd w:val="clear" w:color="auto" w:fill="FFFFFF"/>
            <w:hideMark/>
          </w:tcPr>
          <w:p w14:paraId="5FE42902"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autorità locali autonome aventi un bilancio annuale inferiore a 10 milioni di EUR e meno di 5 000 abitanti.</w:t>
            </w:r>
          </w:p>
        </w:tc>
      </w:tr>
    </w:tbl>
    <w:p w14:paraId="39EA5DD3"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3.   Si definiscono «imprese collegate» le imprese fra le quali esiste una delle relazioni seguenti:</w:t>
      </w:r>
    </w:p>
    <w:tbl>
      <w:tblPr>
        <w:tblW w:w="5000" w:type="pct"/>
        <w:shd w:val="clear" w:color="auto" w:fill="FFFFFF"/>
        <w:tblCellMar>
          <w:left w:w="0" w:type="dxa"/>
          <w:right w:w="0" w:type="dxa"/>
        </w:tblCellMar>
        <w:tblLook w:val="04A0" w:firstRow="1" w:lastRow="0" w:firstColumn="1" w:lastColumn="0" w:noHBand="0" w:noVBand="1"/>
      </w:tblPr>
      <w:tblGrid>
        <w:gridCol w:w="210"/>
        <w:gridCol w:w="9428"/>
      </w:tblGrid>
      <w:tr w:rsidR="005D49F8" w:rsidRPr="00782DF0" w14:paraId="02B338F8" w14:textId="77777777" w:rsidTr="0003605E">
        <w:tc>
          <w:tcPr>
            <w:tcW w:w="0" w:type="auto"/>
            <w:shd w:val="clear" w:color="auto" w:fill="FFFFFF"/>
            <w:hideMark/>
          </w:tcPr>
          <w:p w14:paraId="6F1E483B"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a)</w:t>
            </w:r>
          </w:p>
        </w:tc>
        <w:tc>
          <w:tcPr>
            <w:tcW w:w="0" w:type="auto"/>
            <w:shd w:val="clear" w:color="auto" w:fill="FFFFFF"/>
            <w:hideMark/>
          </w:tcPr>
          <w:p w14:paraId="77C604CE"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un'impresa detiene la maggioranza dei diritti di voto degli azionisti o soci di un'altra impresa;</w:t>
            </w:r>
          </w:p>
        </w:tc>
      </w:tr>
    </w:tbl>
    <w:p w14:paraId="309D2563"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25"/>
        <w:gridCol w:w="9413"/>
      </w:tblGrid>
      <w:tr w:rsidR="005D49F8" w:rsidRPr="00782DF0" w14:paraId="557E23F3" w14:textId="77777777" w:rsidTr="0003605E">
        <w:tc>
          <w:tcPr>
            <w:tcW w:w="0" w:type="auto"/>
            <w:shd w:val="clear" w:color="auto" w:fill="FFFFFF"/>
            <w:hideMark/>
          </w:tcPr>
          <w:p w14:paraId="17B00FA7"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b)</w:t>
            </w:r>
          </w:p>
        </w:tc>
        <w:tc>
          <w:tcPr>
            <w:tcW w:w="0" w:type="auto"/>
            <w:shd w:val="clear" w:color="auto" w:fill="FFFFFF"/>
            <w:hideMark/>
          </w:tcPr>
          <w:p w14:paraId="58552520"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un'impresa ha il diritto di nominare o revocare la maggioranza dei membri del consiglio di amministrazione, direzione o sorveglianza di un'altra impresa;</w:t>
            </w:r>
          </w:p>
        </w:tc>
      </w:tr>
    </w:tbl>
    <w:p w14:paraId="63360D9F"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10"/>
        <w:gridCol w:w="9428"/>
      </w:tblGrid>
      <w:tr w:rsidR="005D49F8" w:rsidRPr="00782DF0" w14:paraId="02C5F546" w14:textId="77777777" w:rsidTr="0003605E">
        <w:tc>
          <w:tcPr>
            <w:tcW w:w="0" w:type="auto"/>
            <w:shd w:val="clear" w:color="auto" w:fill="FFFFFF"/>
            <w:hideMark/>
          </w:tcPr>
          <w:p w14:paraId="2BB57FA1"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c)</w:t>
            </w:r>
          </w:p>
        </w:tc>
        <w:tc>
          <w:tcPr>
            <w:tcW w:w="0" w:type="auto"/>
            <w:shd w:val="clear" w:color="auto" w:fill="FFFFFF"/>
            <w:hideMark/>
          </w:tcPr>
          <w:p w14:paraId="6CEE086B"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un'impresa ha il diritto di esercitare un'influenza dominante su un'altra impresa in virtù di un contratto concluso con quest'ultima oppure in virtù di una clausola dello statuto di quest'ultima;</w:t>
            </w:r>
          </w:p>
        </w:tc>
      </w:tr>
    </w:tbl>
    <w:p w14:paraId="7F5F3067"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25"/>
        <w:gridCol w:w="9413"/>
      </w:tblGrid>
      <w:tr w:rsidR="005D49F8" w:rsidRPr="00782DF0" w14:paraId="75BD893E" w14:textId="77777777" w:rsidTr="0003605E">
        <w:tc>
          <w:tcPr>
            <w:tcW w:w="0" w:type="auto"/>
            <w:shd w:val="clear" w:color="auto" w:fill="FFFFFF"/>
            <w:hideMark/>
          </w:tcPr>
          <w:p w14:paraId="01D0E58C"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w:t>
            </w:r>
          </w:p>
        </w:tc>
        <w:tc>
          <w:tcPr>
            <w:tcW w:w="0" w:type="auto"/>
            <w:shd w:val="clear" w:color="auto" w:fill="FFFFFF"/>
            <w:hideMark/>
          </w:tcPr>
          <w:p w14:paraId="4602D54B"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un'impresa azionista o socia di un'altra impresa controlla da sola, in virtù di un accordo stipulato con altri azionisti o soci dell'altra impresa, la maggioranza dei diritti di voto degli azionisti o soci di quest'ultima.</w:t>
            </w:r>
          </w:p>
        </w:tc>
      </w:tr>
    </w:tbl>
    <w:p w14:paraId="03470F0E"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Sussiste una presunzione juris tantum che non vi sia influenza dominante qualora gli investitori di cui al paragrafo 2, secondo comma, non intervengano direttamente o indirettamente nella gestione dell'impresa in questione, fermi restando i diritti che essi detengono in quanto azionisti.</w:t>
      </w:r>
    </w:p>
    <w:p w14:paraId="5819458E"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Le imprese fra le quali intercorre una delle relazioni di cui al primo comma per il tramite di una o più altre imprese, o degli investitori di cui al paragrafo 2, sono anch'esse considerate imprese collegate.</w:t>
      </w:r>
    </w:p>
    <w:p w14:paraId="5C8E3EA4"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Le imprese fra le quali intercorre una delle suddette relazioni per il tramite di una persona fisica o di un gruppo di persone fisiche che agiscono di concerto sono anch'esse considerate imprese collegate, a patto che esercitino le loro attività o una parte delle loro attività sullo stesso mercato rilevante o su mercati contigui.</w:t>
      </w:r>
    </w:p>
    <w:p w14:paraId="5805F331"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Si considera «mercato contiguo» il mercato di un prodotto o servizio situato direttamente a monte o a valle del mercato rilevante.</w:t>
      </w:r>
    </w:p>
    <w:p w14:paraId="774F81EE"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lastRenderedPageBreak/>
        <w:t>4.   Salvo nei casi contemplati al paragrafo 2, secondo comma, un'impresa non può essere considerata una PMI se almeno il 25 % del suo capitale o dei suoi diritti di voto è controllato direttamente o indirettamente da uno o più enti pubblici, a titolo individuale o congiuntamente.</w:t>
      </w:r>
    </w:p>
    <w:p w14:paraId="40386D37"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w:t>
      </w:r>
    </w:p>
    <w:p w14:paraId="4FC2A43B" w14:textId="77777777" w:rsidR="005D49F8" w:rsidRPr="00782DF0" w:rsidRDefault="005D49F8" w:rsidP="005D49F8">
      <w:pPr>
        <w:shd w:val="clear" w:color="auto" w:fill="FFFFFF"/>
        <w:spacing w:before="360" w:after="120" w:line="312" w:lineRule="atLeast"/>
        <w:jc w:val="center"/>
        <w:rPr>
          <w:rFonts w:ascii="Times New Roman" w:eastAsia="Times New Roman" w:hAnsi="Times New Roman" w:cs="Times New Roman"/>
          <w:i/>
          <w:iCs/>
          <w:color w:val="444444"/>
          <w:sz w:val="27"/>
          <w:szCs w:val="27"/>
          <w:lang w:eastAsia="it-IT"/>
        </w:rPr>
      </w:pPr>
      <w:r w:rsidRPr="00782DF0">
        <w:rPr>
          <w:rFonts w:ascii="Times New Roman" w:eastAsia="Times New Roman" w:hAnsi="Times New Roman" w:cs="Times New Roman"/>
          <w:i/>
          <w:iCs/>
          <w:color w:val="444444"/>
          <w:sz w:val="27"/>
          <w:szCs w:val="27"/>
          <w:lang w:eastAsia="it-IT"/>
        </w:rPr>
        <w:t>Articolo 4</w:t>
      </w:r>
    </w:p>
    <w:p w14:paraId="79234FAF" w14:textId="77777777" w:rsidR="005D49F8" w:rsidRPr="00782DF0" w:rsidRDefault="005D49F8" w:rsidP="005D49F8">
      <w:pPr>
        <w:shd w:val="clear" w:color="auto" w:fill="FFFFFF"/>
        <w:spacing w:before="6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Dati utilizzati per il calcolo degli effettivi e degli importi finanziari e periodo di riferimento</w:t>
      </w:r>
    </w:p>
    <w:p w14:paraId="5AB4EE20"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1.   I dati impiegati per calcolare gli effettivi e gli importi finanziari sono quelli riguardanti l'ultimo esercizio contabile chiuso e calcolati su base annua. Tali dati sono presi in considerazione a partire dalla data di chiusura dei conti. L'importo del fatturato è calcolato al netto dell'imposta sul valore aggiunto (IVA) e di altre imposte indirette.</w:t>
      </w:r>
    </w:p>
    <w:p w14:paraId="6A201DB6"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2.   Se, alla data di chiusura dei conti, un'impresa constata di aver superato su base annua le soglie degli effettivi o le soglie finanziarie di cui all'articolo 2, o di essere scesa al di sotto di tali soglie, essa perde o acquisisce la qualifica di media, piccola o microimpresa solo se questo scostamento avviene per due esercizi consecutivi.</w:t>
      </w:r>
    </w:p>
    <w:p w14:paraId="6D20B205"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3.   Se si tratta di un'impresa di nuova costituzione i cui conti non sono ancora stati chiusi, i dati in questione sono oggetto di una stima in buona fede ad esercizio in corso.</w:t>
      </w:r>
    </w:p>
    <w:p w14:paraId="1A5A6108" w14:textId="77777777" w:rsidR="005D49F8" w:rsidRPr="00782DF0" w:rsidRDefault="005D49F8" w:rsidP="005D49F8">
      <w:pPr>
        <w:shd w:val="clear" w:color="auto" w:fill="FFFFFF"/>
        <w:spacing w:before="360" w:after="120" w:line="312" w:lineRule="atLeast"/>
        <w:jc w:val="center"/>
        <w:rPr>
          <w:rFonts w:ascii="Times New Roman" w:eastAsia="Times New Roman" w:hAnsi="Times New Roman" w:cs="Times New Roman"/>
          <w:i/>
          <w:iCs/>
          <w:color w:val="444444"/>
          <w:sz w:val="27"/>
          <w:szCs w:val="27"/>
          <w:lang w:eastAsia="it-IT"/>
        </w:rPr>
      </w:pPr>
      <w:r w:rsidRPr="00782DF0">
        <w:rPr>
          <w:rFonts w:ascii="Times New Roman" w:eastAsia="Times New Roman" w:hAnsi="Times New Roman" w:cs="Times New Roman"/>
          <w:i/>
          <w:iCs/>
          <w:color w:val="444444"/>
          <w:sz w:val="27"/>
          <w:szCs w:val="27"/>
          <w:lang w:eastAsia="it-IT"/>
        </w:rPr>
        <w:t>Articolo 5</w:t>
      </w:r>
    </w:p>
    <w:p w14:paraId="18492316" w14:textId="77777777" w:rsidR="005D49F8" w:rsidRPr="00782DF0" w:rsidRDefault="005D49F8" w:rsidP="005D49F8">
      <w:pPr>
        <w:shd w:val="clear" w:color="auto" w:fill="FFFFFF"/>
        <w:spacing w:before="6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Effettivi</w:t>
      </w:r>
    </w:p>
    <w:p w14:paraId="48D3B8CA"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Gli effettivi corrispondono al numero di unità lavorative/anno (ULA), ovvero al numero di persone che, durante tutto l'esercizio in questione, hanno lavorato nell'impresa o per conto di essa a tempo pieno. Il lavoro dei dipendenti che non hanno lavorato durante tutto l'esercizio oppure che hanno lavorato a tempo parziale, a prescindere dalla durata, o come lavoratori stagionali, è contabilizzato in frazioni di ULA. Gli effettivi sono composti:</w:t>
      </w:r>
    </w:p>
    <w:tbl>
      <w:tblPr>
        <w:tblW w:w="5000" w:type="pct"/>
        <w:shd w:val="clear" w:color="auto" w:fill="FFFFFF"/>
        <w:tblCellMar>
          <w:left w:w="0" w:type="dxa"/>
          <w:right w:w="0" w:type="dxa"/>
        </w:tblCellMar>
        <w:tblLook w:val="04A0" w:firstRow="1" w:lastRow="0" w:firstColumn="1" w:lastColumn="0" w:noHBand="0" w:noVBand="1"/>
      </w:tblPr>
      <w:tblGrid>
        <w:gridCol w:w="633"/>
        <w:gridCol w:w="9005"/>
      </w:tblGrid>
      <w:tr w:rsidR="005D49F8" w:rsidRPr="00782DF0" w14:paraId="1403423C" w14:textId="77777777" w:rsidTr="0003605E">
        <w:tc>
          <w:tcPr>
            <w:tcW w:w="0" w:type="auto"/>
            <w:shd w:val="clear" w:color="auto" w:fill="FFFFFF"/>
            <w:hideMark/>
          </w:tcPr>
          <w:p w14:paraId="7D650741"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a)</w:t>
            </w:r>
          </w:p>
        </w:tc>
        <w:tc>
          <w:tcPr>
            <w:tcW w:w="0" w:type="auto"/>
            <w:shd w:val="clear" w:color="auto" w:fill="FFFFFF"/>
            <w:hideMark/>
          </w:tcPr>
          <w:p w14:paraId="27D43BB4"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dai dipendenti dell'impresa;</w:t>
            </w:r>
          </w:p>
        </w:tc>
      </w:tr>
    </w:tbl>
    <w:p w14:paraId="5C10A31B"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25"/>
        <w:gridCol w:w="9413"/>
      </w:tblGrid>
      <w:tr w:rsidR="005D49F8" w:rsidRPr="00782DF0" w14:paraId="33831DDE" w14:textId="77777777" w:rsidTr="0003605E">
        <w:tc>
          <w:tcPr>
            <w:tcW w:w="0" w:type="auto"/>
            <w:shd w:val="clear" w:color="auto" w:fill="FFFFFF"/>
            <w:hideMark/>
          </w:tcPr>
          <w:p w14:paraId="054E1C34"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b)</w:t>
            </w:r>
          </w:p>
        </w:tc>
        <w:tc>
          <w:tcPr>
            <w:tcW w:w="0" w:type="auto"/>
            <w:shd w:val="clear" w:color="auto" w:fill="FFFFFF"/>
            <w:hideMark/>
          </w:tcPr>
          <w:p w14:paraId="209C9EC1"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dalle persone che lavorano per l'impresa, ne sono dipendenti e, per la legislazione nazionale, sono considerati come gli altri dipendenti dell'impresa;</w:t>
            </w:r>
          </w:p>
        </w:tc>
      </w:tr>
    </w:tbl>
    <w:p w14:paraId="481D99A0"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771"/>
        <w:gridCol w:w="8867"/>
      </w:tblGrid>
      <w:tr w:rsidR="005D49F8" w:rsidRPr="00782DF0" w14:paraId="6F7C3387" w14:textId="77777777" w:rsidTr="0003605E">
        <w:tc>
          <w:tcPr>
            <w:tcW w:w="0" w:type="auto"/>
            <w:shd w:val="clear" w:color="auto" w:fill="FFFFFF"/>
            <w:hideMark/>
          </w:tcPr>
          <w:p w14:paraId="329B7002"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c)</w:t>
            </w:r>
          </w:p>
        </w:tc>
        <w:tc>
          <w:tcPr>
            <w:tcW w:w="0" w:type="auto"/>
            <w:shd w:val="clear" w:color="auto" w:fill="FFFFFF"/>
            <w:hideMark/>
          </w:tcPr>
          <w:p w14:paraId="1024D140"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dai proprietari gestori;</w:t>
            </w:r>
          </w:p>
        </w:tc>
      </w:tr>
    </w:tbl>
    <w:p w14:paraId="0AD1B37D" w14:textId="77777777" w:rsidR="005D49F8" w:rsidRPr="00782DF0" w:rsidRDefault="005D49F8" w:rsidP="005D49F8">
      <w:pPr>
        <w:spacing w:after="0" w:line="240" w:lineRule="auto"/>
        <w:rPr>
          <w:rFonts w:ascii="Times New Roman" w:eastAsia="Times New Roman" w:hAnsi="Times New Roman" w:cs="Times New Roman"/>
          <w:vanish/>
          <w:sz w:val="24"/>
          <w:szCs w:val="24"/>
          <w:lang w:eastAsia="it-IT"/>
        </w:rPr>
      </w:pPr>
    </w:p>
    <w:tbl>
      <w:tblPr>
        <w:tblW w:w="5000" w:type="pct"/>
        <w:shd w:val="clear" w:color="auto" w:fill="FFFFFF"/>
        <w:tblCellMar>
          <w:left w:w="0" w:type="dxa"/>
          <w:right w:w="0" w:type="dxa"/>
        </w:tblCellMar>
        <w:tblLook w:val="04A0" w:firstRow="1" w:lastRow="0" w:firstColumn="1" w:lastColumn="0" w:noHBand="0" w:noVBand="1"/>
      </w:tblPr>
      <w:tblGrid>
        <w:gridCol w:w="225"/>
        <w:gridCol w:w="9413"/>
      </w:tblGrid>
      <w:tr w:rsidR="005D49F8" w:rsidRPr="00782DF0" w14:paraId="4CC75AAB" w14:textId="77777777" w:rsidTr="0003605E">
        <w:tc>
          <w:tcPr>
            <w:tcW w:w="0" w:type="auto"/>
            <w:shd w:val="clear" w:color="auto" w:fill="FFFFFF"/>
            <w:hideMark/>
          </w:tcPr>
          <w:p w14:paraId="29DF7630"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w:t>
            </w:r>
          </w:p>
        </w:tc>
        <w:tc>
          <w:tcPr>
            <w:tcW w:w="0" w:type="auto"/>
            <w:shd w:val="clear" w:color="auto" w:fill="FFFFFF"/>
            <w:hideMark/>
          </w:tcPr>
          <w:p w14:paraId="7CC5D69E" w14:textId="77777777" w:rsidR="005D49F8" w:rsidRPr="00782DF0" w:rsidRDefault="005D49F8" w:rsidP="0003605E">
            <w:pPr>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dai soci che svolgono un'attività regolare nell'impresa e beneficiano di vantaggi finanziari da essa forniti.</w:t>
            </w:r>
          </w:p>
        </w:tc>
      </w:tr>
    </w:tbl>
    <w:p w14:paraId="16EE21EC"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lastRenderedPageBreak/>
        <w:t>Gli apprendisti con contratto di apprendistato o gli studenti con contratto di formazione non sono contabilizzati come facenti parte degli effettivi. La durata dei congedi di maternità o dei congedi parentali non è contabilizzata.</w:t>
      </w:r>
    </w:p>
    <w:p w14:paraId="48981F5E" w14:textId="77777777" w:rsidR="005D49F8" w:rsidRPr="00782DF0" w:rsidRDefault="005D49F8" w:rsidP="005D49F8">
      <w:pPr>
        <w:shd w:val="clear" w:color="auto" w:fill="FFFFFF"/>
        <w:spacing w:before="360" w:after="120" w:line="312" w:lineRule="atLeast"/>
        <w:jc w:val="center"/>
        <w:rPr>
          <w:rFonts w:ascii="Times New Roman" w:eastAsia="Times New Roman" w:hAnsi="Times New Roman" w:cs="Times New Roman"/>
          <w:i/>
          <w:iCs/>
          <w:color w:val="444444"/>
          <w:sz w:val="27"/>
          <w:szCs w:val="27"/>
          <w:lang w:eastAsia="it-IT"/>
        </w:rPr>
      </w:pPr>
      <w:r w:rsidRPr="00782DF0">
        <w:rPr>
          <w:rFonts w:ascii="Times New Roman" w:eastAsia="Times New Roman" w:hAnsi="Times New Roman" w:cs="Times New Roman"/>
          <w:i/>
          <w:iCs/>
          <w:color w:val="444444"/>
          <w:sz w:val="27"/>
          <w:szCs w:val="27"/>
          <w:lang w:eastAsia="it-IT"/>
        </w:rPr>
        <w:t>Articolo 6</w:t>
      </w:r>
    </w:p>
    <w:p w14:paraId="0EF841AD" w14:textId="77777777" w:rsidR="005D49F8" w:rsidRPr="00782DF0" w:rsidRDefault="005D49F8" w:rsidP="005D49F8">
      <w:pPr>
        <w:shd w:val="clear" w:color="auto" w:fill="FFFFFF"/>
        <w:spacing w:before="60" w:after="120" w:line="312" w:lineRule="atLeast"/>
        <w:jc w:val="center"/>
        <w:rPr>
          <w:rFonts w:ascii="Times New Roman" w:eastAsia="Times New Roman" w:hAnsi="Times New Roman" w:cs="Times New Roman"/>
          <w:b/>
          <w:bCs/>
          <w:color w:val="444444"/>
          <w:sz w:val="27"/>
          <w:szCs w:val="27"/>
          <w:lang w:eastAsia="it-IT"/>
        </w:rPr>
      </w:pPr>
      <w:r w:rsidRPr="00782DF0">
        <w:rPr>
          <w:rFonts w:ascii="Times New Roman" w:eastAsia="Times New Roman" w:hAnsi="Times New Roman" w:cs="Times New Roman"/>
          <w:b/>
          <w:bCs/>
          <w:color w:val="444444"/>
          <w:sz w:val="27"/>
          <w:szCs w:val="27"/>
          <w:lang w:eastAsia="it-IT"/>
        </w:rPr>
        <w:t>Determinazione dei dati dell'impresa</w:t>
      </w:r>
    </w:p>
    <w:p w14:paraId="64FC4C3B"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1.   Per le imprese autonome, i dati, compresi quelli relativi al numero degli effettivi, vengono determinati esclusivamente in base ai conti dell'impresa stessa.</w:t>
      </w:r>
    </w:p>
    <w:p w14:paraId="3E057117"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2.   Per le imprese associate o collegate, i dati, compresi quelli relativi al calcolo degli effettivi, sono determinati sulla base dei conti e di altri dati dell'impresa oppure, se disponibili, sulla base dei conti consolidati dell'impresa o di conti consolidati in cui l'impresa è ripresa tramite consolidamento.</w:t>
      </w:r>
    </w:p>
    <w:p w14:paraId="71D04A48"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Ai dati di cui al primo comma si aggregano i dati delle eventuali imprese associate dell'impresa in questione, situate immediatamente a monte o a valle di quest'ultima. L'aggregazione è effettuata in proporzione alla percentuale di partecipazione al capitale o alla percentuale di diritti di voto detenuti (la più elevata fra le due). Per le partecipazioni incrociate, si applica la percentuale più elevata.</w:t>
      </w:r>
    </w:p>
    <w:p w14:paraId="5EBE9E92"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Ai dati di cui al primo e al secondo comma si aggiunge il 100 % dei dati relativi alle eventuali imprese direttamente o indirettamente collegate all'impresa in questione che non siano già stati ripresi nei conti tramite consolidamento.</w:t>
      </w:r>
    </w:p>
    <w:p w14:paraId="51D62EF7"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3.   Ai fini dell'applicazione del paragrafo 2, i dati delle imprese associate dell'impresa in questione risultano dai loro conti e da altri dati, consolidati se disponibili in tale forma. A questi si aggiunge il 100 % dei dati relativi alle imprese collegate a tali imprese associate, a meno che i loro dati contabili non siano già stati ripresi tramite consolidamento.</w:t>
      </w:r>
    </w:p>
    <w:p w14:paraId="20D49119" w14:textId="77777777" w:rsidR="005D49F8" w:rsidRPr="00782DF0" w:rsidRDefault="005D49F8" w:rsidP="005D49F8">
      <w:pPr>
        <w:shd w:val="clear" w:color="auto" w:fill="FFFFFF"/>
        <w:spacing w:before="120" w:after="0" w:line="312" w:lineRule="atLeast"/>
        <w:jc w:val="both"/>
        <w:rPr>
          <w:rFonts w:ascii="Times New Roman" w:eastAsia="Times New Roman" w:hAnsi="Times New Roman" w:cs="Times New Roman"/>
          <w:color w:val="444444"/>
          <w:sz w:val="27"/>
          <w:szCs w:val="27"/>
          <w:lang w:eastAsia="it-IT"/>
        </w:rPr>
      </w:pPr>
      <w:r w:rsidRPr="00782DF0">
        <w:rPr>
          <w:rFonts w:ascii="Times New Roman" w:eastAsia="Times New Roman" w:hAnsi="Times New Roman" w:cs="Times New Roman"/>
          <w:color w:val="444444"/>
          <w:sz w:val="27"/>
          <w:szCs w:val="27"/>
          <w:lang w:eastAsia="it-IT"/>
        </w:rPr>
        <w:t>Sempre ai fini dell'applicazione del paragrafo 2, i dati delle imprese collegate all'impresa in questione risultano dai loro conti e da altri dati, consolidati se disponibili in tale forma. Ad essi, vengono aggregati, in modo proporzionale, i dati delle eventuali imprese associate di tali imprese collegate situate immediatamente a monte o a valle di queste ultime, se non sono già stati ripresi nei conti consolidati in proporzione almeno equivalente alla percentuale definita al paragrafo 2, secondo comma.</w:t>
      </w:r>
    </w:p>
    <w:p w14:paraId="497C093B" w14:textId="5F85A792" w:rsidR="00BE4532" w:rsidRDefault="005D49F8" w:rsidP="005D49F8">
      <w:pPr>
        <w:shd w:val="clear" w:color="auto" w:fill="FFFFFF"/>
        <w:spacing w:before="120" w:after="0" w:line="312" w:lineRule="atLeast"/>
        <w:jc w:val="both"/>
      </w:pPr>
      <w:r w:rsidRPr="00782DF0">
        <w:rPr>
          <w:rFonts w:ascii="Times New Roman" w:eastAsia="Times New Roman" w:hAnsi="Times New Roman" w:cs="Times New Roman"/>
          <w:color w:val="444444"/>
          <w:sz w:val="27"/>
          <w:szCs w:val="27"/>
          <w:lang w:eastAsia="it-IT"/>
        </w:rPr>
        <w:t>4.   Se dai conti consolidati non risultano dati relativi agli effettivi di una determinata impresa, il calcolo di tali dati si effettua aggregando in modo proporzionale i dati relativi alle imprese cui essa è associata e aggiungendo quelli relativi alle imprese con le quali essa è collegata.</w:t>
      </w:r>
    </w:p>
    <w:sectPr w:rsidR="00BE45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F8"/>
    <w:rsid w:val="00346889"/>
    <w:rsid w:val="005D49F8"/>
    <w:rsid w:val="00BE4532"/>
    <w:rsid w:val="00DC0E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E49A7B"/>
  <w15:chartTrackingRefBased/>
  <w15:docId w15:val="{F2568448-EA19-43BE-9C6E-3D2E9822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49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1492</Words>
  <Characters>8505</Characters>
  <Application>Microsoft Office Word</Application>
  <DocSecurity>0</DocSecurity>
  <Lines>70</Lines>
  <Paragraphs>19</Paragraphs>
  <ScaleCrop>false</ScaleCrop>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Barberi</dc:creator>
  <cp:keywords/>
  <dc:description/>
  <cp:lastModifiedBy>Simone Peruzzi</cp:lastModifiedBy>
  <cp:revision>2</cp:revision>
  <dcterms:created xsi:type="dcterms:W3CDTF">2021-06-09T09:57:00Z</dcterms:created>
  <dcterms:modified xsi:type="dcterms:W3CDTF">2021-06-11T09:48:00Z</dcterms:modified>
</cp:coreProperties>
</file>