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0" w:rsidRDefault="007F71E6" w:rsidP="00AD7C4B">
      <w:pPr>
        <w:jc w:val="center"/>
      </w:pPr>
      <w:r>
        <w:rPr>
          <w:noProof/>
          <w:lang w:eastAsia="fr-BE"/>
        </w:rPr>
        <w:drawing>
          <wp:inline distT="0" distB="0" distL="0" distR="0">
            <wp:extent cx="3409950" cy="1343025"/>
            <wp:effectExtent l="19050" t="0" r="0" b="0"/>
            <wp:docPr id="2" name="Picture 1" descr="Presentation on Horizon Europe by the European Commission ~ ECH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tion on Horizon Europe by the European Commission ~ ECHAllian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5C" w:rsidRDefault="006A195C" w:rsidP="006A195C"/>
    <w:p w:rsidR="005355DA" w:rsidRPr="005355DA" w:rsidRDefault="005355DA" w:rsidP="0053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lang w:val="it-IT" w:eastAsia="it-IT"/>
        </w:rPr>
      </w:pPr>
      <w:r w:rsidRPr="005355DA">
        <w:rPr>
          <w:rFonts w:cs="Calibri"/>
          <w:b/>
          <w:lang w:val="it-IT" w:eastAsia="it-IT"/>
        </w:rPr>
        <w:t>Espansione degli ecosistemi di investimento</w:t>
      </w:r>
    </w:p>
    <w:p w:rsidR="00242337" w:rsidRPr="00242337" w:rsidRDefault="005355DA" w:rsidP="0053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lang w:val="it-IT" w:eastAsia="it-IT"/>
        </w:rPr>
      </w:pPr>
      <w:r w:rsidRPr="005355DA">
        <w:rPr>
          <w:rFonts w:cs="Calibri"/>
          <w:b/>
          <w:lang w:val="it-IT" w:eastAsia="it-IT"/>
        </w:rPr>
        <w:t> HORIZON-EIE-2022-SCALEUP-02-01</w:t>
      </w:r>
    </w:p>
    <w:p w:rsidR="006B1CA7" w:rsidRPr="00486CAC" w:rsidRDefault="006B1CA7" w:rsidP="00242337">
      <w:pPr>
        <w:jc w:val="both"/>
        <w:rPr>
          <w:rFonts w:cs="Calibri"/>
          <w:sz w:val="24"/>
          <w:szCs w:val="24"/>
          <w:lang w:val="it-IT" w:eastAsia="it-IT"/>
        </w:rPr>
      </w:pPr>
    </w:p>
    <w:p w:rsidR="00242337" w:rsidRPr="00486CAC" w:rsidRDefault="00242337" w:rsidP="00242337">
      <w:pPr>
        <w:jc w:val="both"/>
        <w:rPr>
          <w:rFonts w:cs="Calibri"/>
          <w:sz w:val="24"/>
          <w:szCs w:val="24"/>
          <w:lang w:val="it-IT" w:eastAsia="it-IT"/>
        </w:rPr>
      </w:pPr>
      <w:r w:rsidRPr="00486CAC">
        <w:rPr>
          <w:rFonts w:cs="Calibri"/>
          <w:sz w:val="24"/>
          <w:szCs w:val="24"/>
          <w:lang w:val="it-IT" w:eastAsia="it-IT"/>
        </w:rPr>
        <w:t xml:space="preserve">Il programma di lavoro </w:t>
      </w:r>
      <w:r w:rsidR="0027157B">
        <w:fldChar w:fldCharType="begin"/>
      </w:r>
      <w:r w:rsidR="0027157B" w:rsidRPr="00486CAC">
        <w:rPr>
          <w:lang w:val="it-IT"/>
        </w:rPr>
        <w:instrText>HYPERLINK "https://ec.europa.eu/info/research-and-innovation/funding/funding-opportunities/funding-programmes-and-open-calls/horizon-europe/european-innovation-ecosystems_en"</w:instrText>
      </w:r>
      <w:r w:rsidR="0027157B">
        <w:fldChar w:fldCharType="separate"/>
      </w:r>
      <w:r w:rsidRPr="00486CAC">
        <w:rPr>
          <w:rStyle w:val="Hyperlink"/>
          <w:rFonts w:cs="Calibri"/>
          <w:sz w:val="24"/>
          <w:szCs w:val="24"/>
          <w:lang w:val="it-IT" w:eastAsia="it-IT"/>
        </w:rPr>
        <w:t>European Innovation Ecosystem</w:t>
      </w:r>
      <w:r w:rsidR="0027157B">
        <w:fldChar w:fldCharType="end"/>
      </w:r>
      <w:r w:rsidRPr="00486CAC">
        <w:rPr>
          <w:rFonts w:cs="Calibri"/>
          <w:sz w:val="24"/>
          <w:szCs w:val="24"/>
          <w:lang w:val="it-IT" w:eastAsia="it-IT"/>
        </w:rPr>
        <w:t xml:space="preserve"> (EIE) prevede azioni in tre destinazioni:</w:t>
      </w:r>
    </w:p>
    <w:p w:rsidR="00242337" w:rsidRPr="00242337" w:rsidRDefault="00242337" w:rsidP="00242337">
      <w:pPr>
        <w:pStyle w:val="ListParagraph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486CAC">
        <w:rPr>
          <w:rFonts w:cs="Calibri"/>
          <w:b/>
          <w:bCs/>
          <w:sz w:val="24"/>
          <w:szCs w:val="24"/>
          <w:lang w:val="it-IT" w:eastAsia="it-IT"/>
        </w:rPr>
        <w:t>CONNECT</w:t>
      </w:r>
      <w:r w:rsidRPr="00486CAC">
        <w:rPr>
          <w:rFonts w:cs="Calibri"/>
          <w:sz w:val="24"/>
          <w:szCs w:val="24"/>
          <w:lang w:val="it-IT" w:eastAsia="it-IT"/>
        </w:rPr>
        <w:t>: costruzione di ecosistemi di innovazione interconnessi e inclusivi in ​​tutta Europa</w:t>
      </w:r>
      <w:r w:rsidR="00E11893" w:rsidRPr="00486CAC">
        <w:rPr>
          <w:rFonts w:cs="Calibri"/>
          <w:sz w:val="24"/>
          <w:szCs w:val="24"/>
          <w:lang w:val="it-IT" w:eastAsia="it-IT"/>
        </w:rPr>
        <w:t> ;</w:t>
      </w:r>
    </w:p>
    <w:p w:rsidR="00242337" w:rsidRPr="00242337" w:rsidRDefault="00242337" w:rsidP="00242337">
      <w:pPr>
        <w:pStyle w:val="ListParagraph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486CAC">
        <w:rPr>
          <w:rFonts w:cs="Calibri"/>
          <w:b/>
          <w:bCs/>
          <w:sz w:val="24"/>
          <w:szCs w:val="24"/>
          <w:lang w:val="it-IT" w:eastAsia="it-IT"/>
        </w:rPr>
        <w:t>SCALEUP</w:t>
      </w:r>
      <w:r w:rsidRPr="00486CAC">
        <w:rPr>
          <w:rFonts w:cs="Calibri"/>
          <w:sz w:val="24"/>
          <w:szCs w:val="24"/>
          <w:lang w:val="it-IT" w:eastAsia="it-IT"/>
        </w:rPr>
        <w:t>: rafforzamento della connettività di rete all'interno e tra gli ecosistemi di innovazione</w:t>
      </w:r>
      <w:r w:rsidR="00E11893" w:rsidRPr="00486CAC">
        <w:rPr>
          <w:rFonts w:cs="Calibri"/>
          <w:sz w:val="24"/>
          <w:szCs w:val="24"/>
          <w:lang w:val="it-IT" w:eastAsia="it-IT"/>
        </w:rPr>
        <w:t> ;</w:t>
      </w:r>
    </w:p>
    <w:p w:rsidR="007F71E6" w:rsidRPr="006B1CA7" w:rsidRDefault="00242337" w:rsidP="00242337">
      <w:pPr>
        <w:pStyle w:val="ListParagraph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486CAC">
        <w:rPr>
          <w:rFonts w:cs="Calibri"/>
          <w:b/>
          <w:bCs/>
          <w:sz w:val="24"/>
          <w:szCs w:val="24"/>
          <w:lang w:val="it-IT" w:eastAsia="it-IT"/>
        </w:rPr>
        <w:t>INNOVSMES</w:t>
      </w:r>
      <w:r w:rsidRPr="00486CAC">
        <w:rPr>
          <w:rFonts w:cs="Calibri"/>
          <w:sz w:val="24"/>
          <w:szCs w:val="24"/>
          <w:lang w:val="it-IT" w:eastAsia="it-IT"/>
        </w:rPr>
        <w:t>: partenariato europeo sulle PMI innovative</w:t>
      </w:r>
      <w:r w:rsidR="00E11893" w:rsidRPr="00486CAC">
        <w:rPr>
          <w:rFonts w:cs="Calibri"/>
          <w:sz w:val="24"/>
          <w:szCs w:val="24"/>
          <w:lang w:val="it-IT" w:eastAsia="it-IT"/>
        </w:rPr>
        <w:t> ;</w:t>
      </w:r>
    </w:p>
    <w:p w:rsidR="005355DA" w:rsidRPr="005355DA" w:rsidRDefault="005355DA" w:rsidP="005355DA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La </w:t>
      </w:r>
      <w:r w:rsidRPr="005355DA">
        <w:rPr>
          <w:rFonts w:cstheme="minorHAnsi"/>
          <w:lang w:val="it-IT"/>
        </w:rPr>
        <w:t xml:space="preserve">destinazione </w:t>
      </w:r>
      <w:r w:rsidRPr="005355DA">
        <w:rPr>
          <w:rFonts w:cstheme="minorHAnsi"/>
          <w:b/>
          <w:bCs/>
          <w:lang w:val="it-IT"/>
        </w:rPr>
        <w:t>SCALEUP</w:t>
      </w:r>
      <w:r>
        <w:rPr>
          <w:rFonts w:cstheme="minorHAnsi"/>
          <w:lang w:val="it-IT"/>
        </w:rPr>
        <w:t xml:space="preserve"> </w:t>
      </w:r>
      <w:r w:rsidRPr="005355DA">
        <w:rPr>
          <w:rFonts w:cstheme="minorHAnsi"/>
          <w:lang w:val="it-IT"/>
        </w:rPr>
        <w:t>mira a rafforzare ed espandere la cooperazione tra gli attori dell'innovazione per supportare meglio la prossima generazione di aziende innovative le cui soluzioni guideranno il passaggio verso un'UE più competitiva e un mondo più sostenibile, inclusivo e resiliente.</w:t>
      </w:r>
      <w:r>
        <w:rPr>
          <w:rFonts w:cstheme="minorHAnsi"/>
          <w:lang w:val="it-IT"/>
        </w:rPr>
        <w:t xml:space="preserve"> </w:t>
      </w:r>
      <w:r w:rsidRPr="005355DA">
        <w:rPr>
          <w:rFonts w:cstheme="minorHAnsi"/>
          <w:lang w:val="it-IT"/>
        </w:rPr>
        <w:t>Le azioni di questa destinazione aiuteranno gli ecosistemi dell'innovazione a supportare le aziende per sostenere meglio la loro crescita e ottenere nuovi vantaggi competitivi. Oltre a prestazioni di innovazione più forti, maggiore sostenibilità competitiva e transizioni più rapide verso una società verde e digitale, l'integrazione dell'ecosistema può fornire alle aziende l'accesso a nuovi mercati e clienti e contribuire a strategie dirompenti. Essendo attivamente impegnate nelle loro reti locali, nazionali ed europee, le aziende possono aumentare il loro potenziale di crescita complessivo.</w:t>
      </w:r>
      <w:r w:rsidR="005B33AA">
        <w:rPr>
          <w:rFonts w:cstheme="minorHAnsi"/>
          <w:lang w:val="it-IT"/>
        </w:rPr>
        <w:t xml:space="preserve"> </w:t>
      </w:r>
      <w:r w:rsidRPr="005355DA">
        <w:rPr>
          <w:rFonts w:cstheme="minorHAnsi"/>
          <w:lang w:val="it-IT"/>
        </w:rPr>
        <w:t>Le proposte per argomenti nell'ambito di questa destinazione dovrebbero definire un percorso credibile per contribuire ad elevare il potenziale di scalabilità del business e, più specificamente, a uno o più dei seguenti impatti:</w:t>
      </w:r>
    </w:p>
    <w:p w:rsidR="005355DA" w:rsidRPr="005355DA" w:rsidRDefault="005355DA" w:rsidP="005B33AA">
      <w:pPr>
        <w:numPr>
          <w:ilvl w:val="0"/>
          <w:numId w:val="16"/>
        </w:numPr>
        <w:spacing w:after="0"/>
        <w:jc w:val="both"/>
        <w:rPr>
          <w:rFonts w:cstheme="minorHAnsi"/>
          <w:lang w:val="it-IT"/>
        </w:rPr>
      </w:pPr>
      <w:r w:rsidRPr="005355DA">
        <w:rPr>
          <w:rFonts w:cstheme="minorHAnsi"/>
          <w:lang w:val="it-IT"/>
        </w:rPr>
        <w:t>Connettività di rete potenziata all'interno degli ecosistemi di innovazione rafforzando la loro capacità di supportare gli innovatori e le aziende esistenti ed emergenti;</w:t>
      </w:r>
    </w:p>
    <w:p w:rsidR="005355DA" w:rsidRPr="005355DA" w:rsidRDefault="005355DA" w:rsidP="005B33AA">
      <w:pPr>
        <w:numPr>
          <w:ilvl w:val="0"/>
          <w:numId w:val="16"/>
        </w:numPr>
        <w:spacing w:after="0"/>
        <w:jc w:val="both"/>
        <w:rPr>
          <w:rFonts w:cstheme="minorHAnsi"/>
          <w:lang w:val="it-IT"/>
        </w:rPr>
      </w:pPr>
      <w:r w:rsidRPr="005355DA">
        <w:rPr>
          <w:rFonts w:cstheme="minorHAnsi"/>
          <w:lang w:val="it-IT"/>
        </w:rPr>
        <w:t>Cooperazione rafforzata e ampliata tra ecosistemi di innovazione in tutto il mondo;</w:t>
      </w:r>
    </w:p>
    <w:p w:rsidR="00E11893" w:rsidRDefault="005355DA" w:rsidP="005B33AA">
      <w:pPr>
        <w:numPr>
          <w:ilvl w:val="0"/>
          <w:numId w:val="16"/>
        </w:numPr>
        <w:spacing w:after="0"/>
        <w:jc w:val="both"/>
        <w:rPr>
          <w:rFonts w:cstheme="minorHAnsi"/>
          <w:lang w:val="it-IT"/>
        </w:rPr>
      </w:pPr>
      <w:r w:rsidRPr="005355DA">
        <w:rPr>
          <w:rFonts w:cstheme="minorHAnsi"/>
          <w:lang w:val="it-IT"/>
        </w:rPr>
        <w:t>Ecosistemi di innovazione più inclusivi e di parità di genere.</w:t>
      </w:r>
    </w:p>
    <w:p w:rsidR="005B33AA" w:rsidRPr="005B33AA" w:rsidRDefault="005B33AA" w:rsidP="005B33AA">
      <w:pPr>
        <w:spacing w:after="0"/>
        <w:ind w:left="720"/>
        <w:jc w:val="both"/>
        <w:rPr>
          <w:rFonts w:cstheme="minorHAnsi"/>
          <w:lang w:val="it-IT"/>
        </w:rPr>
      </w:pPr>
    </w:p>
    <w:p w:rsidR="006B1CA7" w:rsidRPr="005355DA" w:rsidRDefault="00E11893" w:rsidP="006B1CA7">
      <w:pPr>
        <w:jc w:val="both"/>
        <w:rPr>
          <w:rFonts w:cstheme="minorHAnsi"/>
          <w:b/>
          <w:bCs/>
          <w:lang w:val="it-IT"/>
        </w:rPr>
      </w:pPr>
      <w:r w:rsidRPr="005355DA">
        <w:rPr>
          <w:rFonts w:cstheme="minorHAnsi"/>
          <w:lang w:val="it-IT"/>
        </w:rPr>
        <w:t>La</w:t>
      </w:r>
      <w:r w:rsidRPr="005355DA">
        <w:rPr>
          <w:rFonts w:cstheme="minorHAnsi"/>
          <w:i/>
          <w:iCs/>
          <w:lang w:val="it-IT"/>
        </w:rPr>
        <w:t xml:space="preserve"> call “</w:t>
      </w:r>
      <w:r w:rsidR="005355DA" w:rsidRPr="005355DA">
        <w:rPr>
          <w:rFonts w:cstheme="minorHAnsi"/>
          <w:b/>
          <w:bCs/>
          <w:lang w:val="it-IT"/>
        </w:rPr>
        <w:t>Expanding Investments Ecosystems</w:t>
      </w:r>
      <w:r w:rsidR="005355DA">
        <w:rPr>
          <w:rFonts w:cstheme="minorHAnsi"/>
          <w:b/>
          <w:bCs/>
          <w:lang w:val="it-IT"/>
        </w:rPr>
        <w:t xml:space="preserve"> (</w:t>
      </w:r>
      <w:r w:rsidR="005355DA" w:rsidRPr="005355DA">
        <w:rPr>
          <w:rFonts w:cstheme="minorHAnsi"/>
          <w:b/>
          <w:bCs/>
          <w:lang w:val="it-IT"/>
        </w:rPr>
        <w:t>HORIZON-EIE-2022-SCALEUP-02-01</w:t>
      </w:r>
      <w:r w:rsidR="005355DA">
        <w:rPr>
          <w:rFonts w:cstheme="minorHAnsi"/>
          <w:b/>
          <w:bCs/>
          <w:lang w:val="it-IT"/>
        </w:rPr>
        <w:t xml:space="preserve">)” </w:t>
      </w:r>
      <w:r w:rsidRPr="00E11893">
        <w:rPr>
          <w:rFonts w:cstheme="minorHAnsi"/>
          <w:lang w:val="it-IT"/>
        </w:rPr>
        <w:t>contribuirà allo sviluppo del programma di lavoro di questa destinazione.</w:t>
      </w:r>
    </w:p>
    <w:p w:rsidR="00242337" w:rsidRPr="00486CAC" w:rsidRDefault="00242337" w:rsidP="00242337">
      <w:pPr>
        <w:jc w:val="both"/>
        <w:rPr>
          <w:rFonts w:cs="Calibri"/>
          <w:sz w:val="24"/>
          <w:szCs w:val="24"/>
          <w:lang w:val="it-IT" w:eastAsia="it-IT"/>
        </w:rPr>
      </w:pPr>
      <w:r w:rsidRPr="00486CAC">
        <w:rPr>
          <w:rFonts w:cs="Calibri"/>
          <w:b/>
          <w:bCs/>
          <w:sz w:val="24"/>
          <w:szCs w:val="24"/>
          <w:lang w:val="it-IT" w:eastAsia="it-IT"/>
        </w:rPr>
        <w:t>Data di apertura prevista</w:t>
      </w:r>
      <w:r w:rsidR="00825E55" w:rsidRPr="00486CAC">
        <w:rPr>
          <w:rFonts w:cs="Calibri"/>
          <w:b/>
          <w:bCs/>
          <w:sz w:val="24"/>
          <w:szCs w:val="24"/>
          <w:lang w:val="it-IT" w:eastAsia="it-IT"/>
        </w:rPr>
        <w:t> :</w:t>
      </w:r>
      <w:r w:rsidR="00825E55" w:rsidRPr="00486CAC">
        <w:rPr>
          <w:rFonts w:cs="Calibri"/>
          <w:sz w:val="24"/>
          <w:szCs w:val="24"/>
          <w:lang w:val="it-IT" w:eastAsia="it-IT"/>
        </w:rPr>
        <w:t xml:space="preserve"> </w:t>
      </w:r>
      <w:r w:rsidR="005355DA" w:rsidRPr="00486CAC">
        <w:rPr>
          <w:rFonts w:cs="Calibri"/>
          <w:sz w:val="24"/>
          <w:szCs w:val="24"/>
          <w:lang w:val="it-IT" w:eastAsia="it-IT"/>
        </w:rPr>
        <w:t>21 giugno 2022</w:t>
      </w:r>
    </w:p>
    <w:p w:rsidR="00242337" w:rsidRPr="00242337" w:rsidRDefault="00242337" w:rsidP="00242337">
      <w:pPr>
        <w:jc w:val="both"/>
        <w:rPr>
          <w:rFonts w:cstheme="minorHAnsi"/>
          <w:lang w:val="it-IT"/>
        </w:rPr>
      </w:pPr>
    </w:p>
    <w:tbl>
      <w:tblPr>
        <w:tblpPr w:leftFromText="141" w:rightFromText="141" w:vertAnchor="page" w:horzAnchor="margin" w:tblpXSpec="center" w:tblpY="3218"/>
        <w:tblW w:w="590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8"/>
        <w:gridCol w:w="8074"/>
      </w:tblGrid>
      <w:tr w:rsidR="007F71E6" w:rsidRPr="00486CAC" w:rsidTr="007F71E6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5355DA" w:rsidRDefault="007F71E6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lastRenderedPageBreak/>
              <w:t>Titolo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5DA" w:rsidRPr="005355DA" w:rsidRDefault="005355DA" w:rsidP="005355DA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it-IT" w:eastAsia="it-IT"/>
              </w:rPr>
            </w:pPr>
            <w:r w:rsidRPr="005355DA">
              <w:rPr>
                <w:rFonts w:cstheme="minorHAnsi"/>
                <w:b/>
                <w:sz w:val="24"/>
                <w:szCs w:val="24"/>
                <w:lang w:val="it-IT" w:eastAsia="it-IT"/>
              </w:rPr>
              <w:t>Espansione degli ecosistemi di investimento</w:t>
            </w:r>
          </w:p>
          <w:p w:rsidR="007F71E6" w:rsidRPr="005355DA" w:rsidRDefault="005355DA" w:rsidP="007F71E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it-IT" w:eastAsia="it-IT"/>
              </w:rPr>
            </w:pPr>
            <w:r w:rsidRPr="005355DA">
              <w:rPr>
                <w:rFonts w:cstheme="minorHAnsi"/>
                <w:b/>
                <w:sz w:val="24"/>
                <w:szCs w:val="24"/>
                <w:lang w:val="it-IT" w:eastAsia="it-IT"/>
              </w:rPr>
              <w:t>ID ARGOMENTO: HORIZON-EIE-2022-SCALEUP-02-01</w:t>
            </w:r>
          </w:p>
        </w:tc>
      </w:tr>
      <w:tr w:rsidR="007F71E6" w:rsidRPr="00486CAC" w:rsidTr="007F71E6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5355DA" w:rsidRDefault="007F71E6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Link a pagina web </w:t>
            </w:r>
            <w:proofErr w:type="spellStart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bando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486CAC" w:rsidRDefault="0027157B" w:rsidP="00255AC0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n-US" w:eastAsia="it-IT"/>
              </w:rPr>
            </w:pPr>
            <w:hyperlink r:id="rId7" w:history="1">
              <w:r w:rsidR="00255AC0">
                <w:rPr>
                  <w:rStyle w:val="Hyperlink"/>
                  <w:rFonts w:cstheme="minorHAnsi"/>
                  <w:sz w:val="24"/>
                  <w:szCs w:val="24"/>
                  <w:lang w:val="en-US" w:eastAsia="it-IT"/>
                </w:rPr>
                <w:t>Link</w:t>
              </w:r>
            </w:hyperlink>
          </w:p>
        </w:tc>
      </w:tr>
      <w:tr w:rsidR="007F71E6" w:rsidRPr="005355DA" w:rsidTr="007F71E6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5355DA" w:rsidRDefault="003022CA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S</w:t>
            </w:r>
            <w:r w:rsidR="007F71E6"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cadenza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1E6" w:rsidRPr="005355DA" w:rsidRDefault="005355DA" w:rsidP="007F71E6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5355DA">
              <w:rPr>
                <w:rFonts w:cstheme="minorHAnsi"/>
                <w:sz w:val="24"/>
                <w:szCs w:val="24"/>
                <w:lang w:eastAsia="it-IT"/>
              </w:rPr>
              <w:t xml:space="preserve">04 </w:t>
            </w:r>
            <w:proofErr w:type="spellStart"/>
            <w:r w:rsidRPr="005355DA">
              <w:rPr>
                <w:rFonts w:cstheme="minorHAnsi"/>
                <w:sz w:val="24"/>
                <w:szCs w:val="24"/>
                <w:lang w:eastAsia="it-IT"/>
              </w:rPr>
              <w:t>ottobre</w:t>
            </w:r>
            <w:proofErr w:type="spellEnd"/>
            <w:r w:rsidRPr="005355DA">
              <w:rPr>
                <w:rFonts w:cstheme="minorHAnsi"/>
                <w:sz w:val="24"/>
                <w:szCs w:val="24"/>
                <w:lang w:eastAsia="it-IT"/>
              </w:rPr>
              <w:t xml:space="preserve"> 2022 17:00 </w:t>
            </w:r>
            <w:proofErr w:type="spellStart"/>
            <w:r w:rsidRPr="005355DA">
              <w:rPr>
                <w:rFonts w:cstheme="minorHAnsi"/>
                <w:sz w:val="24"/>
                <w:szCs w:val="24"/>
                <w:lang w:eastAsia="it-IT"/>
              </w:rPr>
              <w:t>ora</w:t>
            </w:r>
            <w:proofErr w:type="spellEnd"/>
            <w:r w:rsidRPr="005355DA">
              <w:rPr>
                <w:rFonts w:cstheme="minorHAnsi"/>
                <w:sz w:val="24"/>
                <w:szCs w:val="24"/>
                <w:lang w:eastAsia="it-IT"/>
              </w:rPr>
              <w:t xml:space="preserve"> di Bruxelles</w:t>
            </w:r>
          </w:p>
        </w:tc>
      </w:tr>
      <w:tr w:rsidR="007F71E6" w:rsidRPr="005355DA" w:rsidTr="00242337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5355DA" w:rsidRDefault="007F71E6" w:rsidP="0024233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Programma di </w:t>
            </w:r>
            <w:proofErr w:type="spellStart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finanziamento</w:t>
            </w:r>
            <w:proofErr w:type="spellEnd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5355DA" w:rsidRDefault="003022CA" w:rsidP="00242337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5355DA">
              <w:rPr>
                <w:rFonts w:cstheme="minorHAnsi"/>
                <w:sz w:val="24"/>
                <w:szCs w:val="24"/>
                <w:lang w:eastAsia="it-IT"/>
              </w:rPr>
              <w:t>Horizon Europe</w:t>
            </w:r>
          </w:p>
          <w:p w:rsidR="007F71E6" w:rsidRPr="005355DA" w:rsidRDefault="007F71E6" w:rsidP="00242337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3022CA" w:rsidRPr="005355DA" w:rsidTr="007F71E6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2CA" w:rsidRPr="005355DA" w:rsidRDefault="003022CA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Programma di </w:t>
            </w:r>
            <w:proofErr w:type="spellStart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lavoro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2CA" w:rsidRPr="005355DA" w:rsidRDefault="0027157B" w:rsidP="007F71E6">
            <w:pPr>
              <w:spacing w:after="0" w:line="240" w:lineRule="auto"/>
              <w:rPr>
                <w:rFonts w:cstheme="minorHAnsi"/>
                <w:sz w:val="24"/>
                <w:szCs w:val="24"/>
                <w:lang w:val="it-IT" w:eastAsia="it-IT"/>
              </w:rPr>
            </w:pPr>
            <w:hyperlink r:id="rId8" w:history="1">
              <w:r w:rsidR="00242337" w:rsidRPr="00486CAC">
                <w:rPr>
                  <w:rStyle w:val="Hyperlink"/>
                  <w:rFonts w:cstheme="minorHAnsi"/>
                  <w:sz w:val="24"/>
                  <w:szCs w:val="24"/>
                  <w:lang w:val="it-IT" w:eastAsia="it-IT"/>
                </w:rPr>
                <w:t xml:space="preserve">Programma di lavoro principale HE 2021–2022 – 10. </w:t>
              </w:r>
              <w:proofErr w:type="spellStart"/>
              <w:r w:rsidR="00242337" w:rsidRPr="005355DA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>Ecosistemi</w:t>
              </w:r>
              <w:proofErr w:type="spellEnd"/>
              <w:r w:rsidR="00242337" w:rsidRPr="005355DA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="00242337" w:rsidRPr="005355DA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>europei</w:t>
              </w:r>
              <w:proofErr w:type="spellEnd"/>
              <w:r w:rsidR="00242337" w:rsidRPr="005355DA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="00242337" w:rsidRPr="005355DA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>dell'innovazione</w:t>
              </w:r>
              <w:proofErr w:type="spellEnd"/>
              <w:r w:rsidR="00242337" w:rsidRPr="005355DA">
                <w:rPr>
                  <w:rStyle w:val="Hyperlink"/>
                  <w:rFonts w:cstheme="minorHAnsi"/>
                  <w:sz w:val="24"/>
                  <w:szCs w:val="24"/>
                  <w:lang w:eastAsia="it-IT"/>
                </w:rPr>
                <w:t xml:space="preserve"> (EIE)</w:t>
              </w:r>
            </w:hyperlink>
          </w:p>
        </w:tc>
      </w:tr>
      <w:tr w:rsidR="007F71E6" w:rsidRPr="005355DA" w:rsidTr="00242337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5355DA" w:rsidRDefault="007F71E6" w:rsidP="0024233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Ente </w:t>
            </w:r>
            <w:proofErr w:type="spellStart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finanziatore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5355DA" w:rsidRDefault="007F71E6" w:rsidP="00242337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proofErr w:type="spellStart"/>
            <w:r w:rsidRPr="005355DA">
              <w:rPr>
                <w:rFonts w:cstheme="minorHAnsi"/>
                <w:sz w:val="24"/>
                <w:szCs w:val="24"/>
                <w:lang w:eastAsia="it-IT"/>
              </w:rPr>
              <w:t>Commissione</w:t>
            </w:r>
            <w:proofErr w:type="spellEnd"/>
            <w:r w:rsidRPr="005355DA">
              <w:rPr>
                <w:rFonts w:cstheme="minorHAnsi"/>
                <w:sz w:val="24"/>
                <w:szCs w:val="24"/>
                <w:lang w:eastAsia="it-IT"/>
              </w:rPr>
              <w:t xml:space="preserve"> Europea</w:t>
            </w:r>
          </w:p>
        </w:tc>
      </w:tr>
      <w:tr w:rsidR="007F71E6" w:rsidRPr="005355DA" w:rsidTr="00242337">
        <w:trPr>
          <w:trHeight w:val="329"/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5355DA" w:rsidRDefault="007F71E6" w:rsidP="0024233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Budget (€)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1E6" w:rsidRPr="005355DA" w:rsidRDefault="005355DA" w:rsidP="00242337">
            <w:p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5355DA">
              <w:rPr>
                <w:rFonts w:cstheme="minorHAnsi"/>
                <w:sz w:val="24"/>
                <w:szCs w:val="24"/>
                <w:lang w:eastAsia="it-IT"/>
              </w:rPr>
              <w:t xml:space="preserve">5 000 </w:t>
            </w:r>
            <w:proofErr w:type="spellStart"/>
            <w:r w:rsidRPr="005355DA">
              <w:rPr>
                <w:rFonts w:cstheme="minorHAnsi"/>
                <w:sz w:val="24"/>
                <w:szCs w:val="24"/>
                <w:lang w:eastAsia="it-IT"/>
              </w:rPr>
              <w:t>000</w:t>
            </w:r>
            <w:proofErr w:type="spellEnd"/>
            <w:r w:rsidRPr="005355DA">
              <w:rPr>
                <w:rFonts w:cstheme="minorHAnsi"/>
                <w:sz w:val="24"/>
                <w:szCs w:val="24"/>
                <w:lang w:eastAsia="it-IT"/>
              </w:rPr>
              <w:t xml:space="preserve"> EUR</w:t>
            </w:r>
          </w:p>
        </w:tc>
      </w:tr>
      <w:tr w:rsidR="007F71E6" w:rsidRPr="00486CAC" w:rsidTr="007F71E6">
        <w:trPr>
          <w:tblCellSpacing w:w="7" w:type="dxa"/>
        </w:trPr>
        <w:tc>
          <w:tcPr>
            <w:tcW w:w="1253" w:type="pct"/>
            <w:vAlign w:val="center"/>
          </w:tcPr>
          <w:p w:rsidR="007F71E6" w:rsidRPr="005355DA" w:rsidRDefault="007F71E6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Obiettivi</w:t>
            </w:r>
            <w:proofErr w:type="spellEnd"/>
            <w:r w:rsidRPr="005355DA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728" w:type="pct"/>
            <w:vAlign w:val="center"/>
          </w:tcPr>
          <w:p w:rsidR="005355DA" w:rsidRPr="005355DA" w:rsidRDefault="005355DA" w:rsidP="005355DA">
            <w:pPr>
              <w:pStyle w:val="NormalWeb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Si prevede che i risultati del progetto contribuiranno a tutti i seguenti risultati attesi:</w:t>
            </w:r>
          </w:p>
          <w:p w:rsidR="005355DA" w:rsidRPr="005355DA" w:rsidRDefault="005355DA" w:rsidP="005355DA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Maggiore accesso al capitale e agli investimenti in ecosistemi di innovazione meno connessi, migliorandone l'apertura, la competitività e il potenziale globale;</w:t>
            </w:r>
          </w:p>
          <w:p w:rsidR="005355DA" w:rsidRPr="005355DA" w:rsidRDefault="005355DA" w:rsidP="005355DA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Aumento degli investimenti di rischio e ha consentito la crescita in fase avanzata di start-up locali in ecosistemi di innovazione meno connessi e in via di sviluppo;</w:t>
            </w:r>
          </w:p>
          <w:p w:rsidR="005355DA" w:rsidRPr="005355DA" w:rsidRDefault="005355DA" w:rsidP="005355DA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Accesso facilitato degli investitori al flusso di operazioni locali;</w:t>
            </w:r>
          </w:p>
          <w:p w:rsidR="007F71E6" w:rsidRPr="005355DA" w:rsidRDefault="005355DA" w:rsidP="005355DA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Miglioramento delle conoscenze degli investitori sui quadri normativi e sulle reti per supportare le iniziative congiunte transfrontaliere in nuovi mercati.</w:t>
            </w:r>
          </w:p>
        </w:tc>
      </w:tr>
      <w:tr w:rsidR="00825E55" w:rsidRPr="00486CAC" w:rsidTr="007F71E6">
        <w:trPr>
          <w:tblCellSpacing w:w="7" w:type="dxa"/>
        </w:trPr>
        <w:tc>
          <w:tcPr>
            <w:tcW w:w="1253" w:type="pct"/>
            <w:vAlign w:val="center"/>
          </w:tcPr>
          <w:p w:rsidR="00825E55" w:rsidRPr="005355DA" w:rsidRDefault="00825E55" w:rsidP="007F71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5355DA">
              <w:rPr>
                <w:rFonts w:eastAsia="Calibri" w:cstheme="minorHAnsi"/>
                <w:b/>
                <w:bCs/>
                <w:sz w:val="24"/>
                <w:szCs w:val="24"/>
                <w:lang w:val="it-IT" w:eastAsia="it-IT"/>
              </w:rPr>
              <w:t>Attività</w:t>
            </w:r>
          </w:p>
        </w:tc>
        <w:tc>
          <w:tcPr>
            <w:tcW w:w="3728" w:type="pct"/>
            <w:vAlign w:val="center"/>
          </w:tcPr>
          <w:p w:rsidR="005355DA" w:rsidRPr="005355DA" w:rsidRDefault="005355DA" w:rsidP="005355DA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 xml:space="preserve">L'azione sostiene programmi di attività co-progettati, di almeno due (2) anni, proposti da fornitori di servizi di accelerazione delle imprese e/o reti e club di investitori, situati in ecosistemi di innovazione meno connessi ("modesto" e "moderato") e innovazione hub ("strong innovatori" e leader dell'innovazione"), per facilitare l'ingresso di finanziatori in ecosistemi di innovazione meno connessi attraverso </w:t>
            </w:r>
            <w:r w:rsidR="00352E68">
              <w:rPr>
                <w:rFonts w:asciiTheme="minorHAnsi" w:hAnsiTheme="minorHAnsi" w:cstheme="minorHAnsi"/>
              </w:rPr>
              <w:t>diversi tipi di azione</w:t>
            </w:r>
            <w:r w:rsidRPr="005355DA">
              <w:rPr>
                <w:rFonts w:asciiTheme="minorHAnsi" w:hAnsiTheme="minorHAnsi" w:cstheme="minorHAnsi"/>
              </w:rPr>
              <w:t>, ad esempio:</w:t>
            </w:r>
          </w:p>
          <w:p w:rsidR="005355DA" w:rsidRPr="005355DA" w:rsidRDefault="005355DA" w:rsidP="005355DA">
            <w:pPr>
              <w:pStyle w:val="NormalWeb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programmi di orientamento/introduzione al mercato per gli investitori europei, compresa la creazione di punti centrali di informazione per gli investitori stranieri che forniscano loro conoscenze sulle condizioni di costituzione dell'ecosistema, incentivi, tasse e legislazione;</w:t>
            </w:r>
          </w:p>
          <w:p w:rsidR="005355DA" w:rsidRPr="005355DA" w:rsidRDefault="005355DA" w:rsidP="005355DA">
            <w:pPr>
              <w:pStyle w:val="NormalWeb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assistenza agli investitori/Venture Capitalist stranieri comunitari e internazionali, comprese le donne investitore, durante tutto il processo di investimento, dalla fase di pre-ingresso fino all'uscita, garantendo supporto nelle questioni amministrative, legali, linguistiche e culturali;</w:t>
            </w:r>
          </w:p>
          <w:p w:rsidR="005355DA" w:rsidRPr="005355DA" w:rsidRDefault="005355DA" w:rsidP="005355DA">
            <w:pPr>
              <w:pStyle w:val="NormalWeb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organizzazione di forum, conferenze ed eventi di business internazionali europei e mondiali per attrarre e connettere investitori internazionali con locali;</w:t>
            </w:r>
          </w:p>
          <w:p w:rsidR="00825E55" w:rsidRPr="005355DA" w:rsidRDefault="005355DA" w:rsidP="005355DA">
            <w:pPr>
              <w:pStyle w:val="NormalWeb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confronto tra pari di investitori e altre attività di networking per incoraggiare le joint venture;</w:t>
            </w:r>
          </w:p>
        </w:tc>
      </w:tr>
    </w:tbl>
    <w:p w:rsidR="005355DA" w:rsidRPr="00486CAC" w:rsidRDefault="005355DA">
      <w:pPr>
        <w:rPr>
          <w:lang w:val="it-IT"/>
        </w:rPr>
      </w:pPr>
    </w:p>
    <w:p w:rsidR="005355DA" w:rsidRPr="00486CAC" w:rsidRDefault="005355DA">
      <w:pPr>
        <w:rPr>
          <w:lang w:val="it-IT"/>
        </w:rPr>
      </w:pPr>
    </w:p>
    <w:p w:rsidR="005355DA" w:rsidRPr="00486CAC" w:rsidRDefault="005355DA">
      <w:pPr>
        <w:rPr>
          <w:lang w:val="it-IT"/>
        </w:rPr>
      </w:pPr>
    </w:p>
    <w:p w:rsidR="005355DA" w:rsidRPr="00486CAC" w:rsidRDefault="005355DA">
      <w:pPr>
        <w:rPr>
          <w:lang w:val="it-IT"/>
        </w:rPr>
      </w:pPr>
    </w:p>
    <w:tbl>
      <w:tblPr>
        <w:tblpPr w:leftFromText="141" w:rightFromText="141" w:vertAnchor="page" w:horzAnchor="margin" w:tblpXSpec="center" w:tblpY="3218"/>
        <w:tblW w:w="5922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8"/>
        <w:gridCol w:w="8074"/>
      </w:tblGrid>
      <w:tr w:rsidR="005355DA" w:rsidRPr="00486CAC" w:rsidTr="005355DA">
        <w:trPr>
          <w:tblCellSpacing w:w="7" w:type="dxa"/>
        </w:trPr>
        <w:tc>
          <w:tcPr>
            <w:tcW w:w="1253" w:type="pct"/>
            <w:vAlign w:val="center"/>
          </w:tcPr>
          <w:p w:rsidR="005355DA" w:rsidRPr="005355DA" w:rsidRDefault="005355DA" w:rsidP="007F71E6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728" w:type="pct"/>
            <w:vAlign w:val="center"/>
          </w:tcPr>
          <w:p w:rsidR="005355DA" w:rsidRDefault="005355DA" w:rsidP="005355DA">
            <w:pPr>
              <w:pStyle w:val="NormalWeb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un archivio delle migliori pratiche di facilitazione dell'ingresso nel mercato per gli investitori internazionali;</w:t>
            </w:r>
          </w:p>
          <w:p w:rsidR="005355DA" w:rsidRPr="005355DA" w:rsidRDefault="005355DA" w:rsidP="005355DA">
            <w:pPr>
              <w:pStyle w:val="NormalWeb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5355DA">
              <w:rPr>
                <w:rFonts w:asciiTheme="minorHAnsi" w:hAnsiTheme="minorHAnsi" w:cstheme="minorHAnsi"/>
              </w:rPr>
              <w:t>un elenco di raccomandazioni per le autorità locali e le autorità di regolamentazione europee per affrontare meglio le sfide di ingresso degli investitori e facilitare gli accordi transfrontalieri.</w:t>
            </w:r>
          </w:p>
        </w:tc>
      </w:tr>
      <w:tr w:rsidR="005355DA" w:rsidRPr="00486CAC" w:rsidTr="005355DA">
        <w:trPr>
          <w:tblCellSpacing w:w="7" w:type="dxa"/>
        </w:trPr>
        <w:tc>
          <w:tcPr>
            <w:tcW w:w="1253" w:type="pct"/>
            <w:vAlign w:val="center"/>
          </w:tcPr>
          <w:p w:rsidR="005355DA" w:rsidRPr="00242337" w:rsidRDefault="005355DA" w:rsidP="005355D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</w:pPr>
            <w:r w:rsidRPr="00242337"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  <w:t>Beneficiari</w:t>
            </w:r>
          </w:p>
          <w:p w:rsidR="005355DA" w:rsidRPr="00242337" w:rsidRDefault="005355DA" w:rsidP="005355DA">
            <w:pPr>
              <w:spacing w:after="0" w:line="240" w:lineRule="auto"/>
              <w:rPr>
                <w:rFonts w:cs="Calibri"/>
                <w:lang w:val="it-IT" w:eastAsia="it-IT"/>
              </w:rPr>
            </w:pPr>
            <w:r w:rsidRPr="00242337">
              <w:rPr>
                <w:rFonts w:cs="Calibri"/>
                <w:lang w:val="it-IT" w:eastAsia="it-IT"/>
              </w:rPr>
              <w:t>Chi può presentare il progetto</w:t>
            </w:r>
          </w:p>
          <w:p w:rsidR="005355DA" w:rsidRPr="005355DA" w:rsidRDefault="005355DA" w:rsidP="005355DA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728" w:type="pct"/>
            <w:vAlign w:val="center"/>
          </w:tcPr>
          <w:p w:rsidR="005355DA" w:rsidRPr="005355DA" w:rsidRDefault="00255AC0" w:rsidP="00255AC0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255AC0">
              <w:rPr>
                <w:rFonts w:cs="Calibri"/>
                <w:iCs/>
              </w:rPr>
              <w:t>F</w:t>
            </w:r>
            <w:r w:rsidR="005355DA" w:rsidRPr="005355DA">
              <w:rPr>
                <w:rFonts w:cs="Calibri"/>
              </w:rPr>
              <w:t xml:space="preserve">ornitori di accelerazione aziendale come incubatori, acceleratori, costruttori di imprese, agenzie per l'innovazione, club e reti aziendali, </w:t>
            </w:r>
            <w:r>
              <w:rPr>
                <w:rFonts w:cs="Calibri"/>
              </w:rPr>
              <w:t>organismi</w:t>
            </w:r>
            <w:r w:rsidR="005355DA" w:rsidRPr="005355DA">
              <w:rPr>
                <w:rFonts w:cs="Calibri"/>
              </w:rPr>
              <w:t xml:space="preserve"> pubblici e privati ​​e le loro reti, banche di promozione nazionali e regionali.</w:t>
            </w:r>
          </w:p>
        </w:tc>
      </w:tr>
      <w:tr w:rsidR="005355DA" w:rsidRPr="005355DA" w:rsidTr="005355DA">
        <w:trPr>
          <w:tblCellSpacing w:w="7" w:type="dxa"/>
        </w:trPr>
        <w:tc>
          <w:tcPr>
            <w:tcW w:w="1253" w:type="pct"/>
            <w:vAlign w:val="center"/>
          </w:tcPr>
          <w:p w:rsidR="005355DA" w:rsidRPr="00242337" w:rsidRDefault="005355DA" w:rsidP="005355D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</w:pPr>
            <w:r w:rsidRPr="00242337">
              <w:rPr>
                <w:rFonts w:cs="Calibri"/>
                <w:b/>
                <w:bCs/>
                <w:sz w:val="24"/>
                <w:szCs w:val="24"/>
                <w:lang w:eastAsia="it-IT"/>
              </w:rPr>
              <w:t xml:space="preserve">Link alla </w:t>
            </w:r>
            <w:proofErr w:type="spellStart"/>
            <w:r w:rsidRPr="00242337">
              <w:rPr>
                <w:rFonts w:cs="Calibri"/>
                <w:b/>
                <w:bCs/>
                <w:sz w:val="24"/>
                <w:szCs w:val="24"/>
                <w:lang w:eastAsia="it-IT"/>
              </w:rPr>
              <w:t>documentazione</w:t>
            </w:r>
            <w:proofErr w:type="spellEnd"/>
          </w:p>
        </w:tc>
        <w:tc>
          <w:tcPr>
            <w:tcW w:w="3728" w:type="pct"/>
            <w:vAlign w:val="center"/>
          </w:tcPr>
          <w:p w:rsidR="005355DA" w:rsidRPr="00825E55" w:rsidRDefault="005355DA" w:rsidP="005355DA">
            <w:pPr>
              <w:spacing w:after="0"/>
              <w:rPr>
                <w:rFonts w:cs="Calibri"/>
                <w:sz w:val="24"/>
                <w:szCs w:val="24"/>
                <w:highlight w:val="yellow"/>
                <w:lang w:val="it-IT"/>
              </w:rPr>
            </w:pPr>
            <w:r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Modulo di domanda standard: il modulo </w:t>
            </w:r>
            <w:r w:rsidRPr="00825E55">
              <w:rPr>
                <w:rFonts w:cs="Calibri"/>
                <w:i/>
                <w:iCs/>
                <w:sz w:val="24"/>
                <w:szCs w:val="24"/>
                <w:highlight w:val="yellow"/>
                <w:lang w:val="it-IT"/>
              </w:rPr>
              <w:t>di domanda specifico per il bando è disponibile nel sistema di presentazione</w:t>
            </w:r>
            <w:r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 </w:t>
            </w:r>
          </w:p>
          <w:p w:rsidR="005355DA" w:rsidRPr="00825E55" w:rsidRDefault="0027157B" w:rsidP="005355DA">
            <w:pPr>
              <w:spacing w:after="0"/>
              <w:rPr>
                <w:rFonts w:cs="Calibri"/>
                <w:sz w:val="24"/>
                <w:szCs w:val="24"/>
                <w:highlight w:val="yellow"/>
                <w:lang w:val="it-IT"/>
              </w:rPr>
            </w:pPr>
            <w:hyperlink r:id="rId9" w:history="1">
              <w:r w:rsidR="005355DA" w:rsidRPr="00825E55">
                <w:rPr>
                  <w:rStyle w:val="Hyperlink"/>
                  <w:rFonts w:cs="Calibri"/>
                  <w:sz w:val="24"/>
                  <w:szCs w:val="24"/>
                  <w:highlight w:val="yellow"/>
                  <w:lang w:val="it-IT"/>
                </w:rPr>
                <w:t>Modulo di domanda standard (HE CSA)</w:t>
              </w:r>
            </w:hyperlink>
          </w:p>
          <w:p w:rsidR="005355DA" w:rsidRPr="00825E55" w:rsidRDefault="005355DA" w:rsidP="005355DA">
            <w:pPr>
              <w:spacing w:after="0"/>
              <w:rPr>
                <w:rFonts w:cs="Calibri"/>
                <w:sz w:val="24"/>
                <w:szCs w:val="24"/>
                <w:highlight w:val="yellow"/>
                <w:lang w:val="it-IT"/>
              </w:rPr>
            </w:pPr>
            <w:r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Modulo di valutazione standard — </w:t>
            </w:r>
            <w:r w:rsidRPr="00825E55">
              <w:rPr>
                <w:rFonts w:cs="Calibri"/>
                <w:i/>
                <w:iCs/>
                <w:sz w:val="24"/>
                <w:szCs w:val="24"/>
                <w:highlight w:val="yellow"/>
                <w:lang w:val="it-IT"/>
              </w:rPr>
              <w:t>sarà utilizzato con gli adattamenti necessari</w:t>
            </w:r>
            <w:r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 </w:t>
            </w:r>
          </w:p>
          <w:p w:rsidR="005355DA" w:rsidRDefault="0027157B" w:rsidP="005355DA">
            <w:pPr>
              <w:spacing w:after="0"/>
              <w:rPr>
                <w:rFonts w:cs="Calibri"/>
                <w:sz w:val="24"/>
                <w:szCs w:val="24"/>
                <w:highlight w:val="yellow"/>
                <w:lang w:val="it-IT"/>
              </w:rPr>
            </w:pPr>
            <w:hyperlink r:id="rId10" w:history="1">
              <w:r w:rsidR="005355DA" w:rsidRPr="00825E55">
                <w:rPr>
                  <w:rStyle w:val="Hyperlink"/>
                  <w:rFonts w:cs="Calibri"/>
                  <w:sz w:val="24"/>
                  <w:szCs w:val="24"/>
                  <w:highlight w:val="yellow"/>
                  <w:lang w:val="it-IT"/>
                </w:rPr>
                <w:t>Modulo di valutazione standard (HE CSA)</w:t>
              </w:r>
            </w:hyperlink>
            <w:r w:rsidR="005355DA" w:rsidRPr="00825E55">
              <w:rPr>
                <w:rFonts w:cs="Calibri"/>
                <w:sz w:val="24"/>
                <w:szCs w:val="24"/>
                <w:highlight w:val="yellow"/>
                <w:lang w:val="it-IT"/>
              </w:rPr>
              <w:t>  </w:t>
            </w:r>
          </w:p>
          <w:p w:rsidR="005355DA" w:rsidRPr="00825E55" w:rsidRDefault="0027157B" w:rsidP="005355DA">
            <w:pPr>
              <w:rPr>
                <w:rFonts w:cs="Calibri"/>
                <w:sz w:val="24"/>
                <w:szCs w:val="24"/>
                <w:lang w:val="it-IT"/>
              </w:rPr>
            </w:pPr>
            <w:hyperlink r:id="rId11" w:history="1">
              <w:r w:rsidR="005355DA" w:rsidRPr="00825E55">
                <w:rPr>
                  <w:rStyle w:val="Hyperlink"/>
                  <w:rFonts w:cs="Calibri"/>
                  <w:sz w:val="24"/>
                  <w:szCs w:val="24"/>
                  <w:lang w:val="it-IT"/>
                </w:rPr>
                <w:t>Programma di lavoro principale di HE 2021–2022 – 1. Introduzione generale</w:t>
              </w:r>
            </w:hyperlink>
          </w:p>
          <w:p w:rsidR="005355DA" w:rsidRPr="00825E55" w:rsidRDefault="0027157B" w:rsidP="005355DA">
            <w:pPr>
              <w:rPr>
                <w:rFonts w:cs="Calibri"/>
                <w:sz w:val="24"/>
                <w:szCs w:val="24"/>
                <w:lang w:val="it-IT"/>
              </w:rPr>
            </w:pPr>
            <w:hyperlink r:id="rId12" w:history="1">
              <w:r w:rsidR="005355DA" w:rsidRPr="00825E55">
                <w:rPr>
                  <w:rStyle w:val="Hyperlink"/>
                  <w:rFonts w:cs="Calibri"/>
                  <w:sz w:val="24"/>
                  <w:szCs w:val="24"/>
                  <w:lang w:val="it-IT"/>
                </w:rPr>
                <w:t>Programma di lavoro principale HE 2021–2022 – 10. Ecosistemi europei dell'innovazione (EIE)</w:t>
              </w:r>
            </w:hyperlink>
          </w:p>
          <w:p w:rsidR="005355DA" w:rsidRPr="00825E55" w:rsidRDefault="0027157B" w:rsidP="005355DA">
            <w:pPr>
              <w:rPr>
                <w:rFonts w:cs="Calibri"/>
                <w:sz w:val="24"/>
                <w:szCs w:val="24"/>
                <w:lang w:val="it-IT"/>
              </w:rPr>
            </w:pPr>
            <w:hyperlink r:id="rId13" w:history="1">
              <w:r w:rsidR="005355DA" w:rsidRPr="00825E55">
                <w:rPr>
                  <w:rStyle w:val="Hyperlink"/>
                  <w:rFonts w:cs="Calibri"/>
                  <w:sz w:val="24"/>
                  <w:szCs w:val="24"/>
                  <w:lang w:val="it-IT"/>
                </w:rPr>
                <w:t>Programma di lavoro principale di HE 2021–2022 – 13. Allegati generali</w:t>
              </w:r>
            </w:hyperlink>
          </w:p>
          <w:p w:rsidR="005355DA" w:rsidRPr="005355DA" w:rsidRDefault="0027157B" w:rsidP="005355DA">
            <w:pPr>
              <w:pStyle w:val="NormalWeb"/>
              <w:jc w:val="both"/>
              <w:rPr>
                <w:rFonts w:cs="Calibri"/>
                <w:i/>
                <w:iCs/>
              </w:rPr>
            </w:pPr>
            <w:hyperlink r:id="rId14" w:history="1">
              <w:r w:rsidR="005355DA" w:rsidRPr="00825E55">
                <w:rPr>
                  <w:rStyle w:val="Hyperlink"/>
                  <w:rFonts w:cs="Calibri"/>
                </w:rPr>
                <w:t>HE Guida al programma</w:t>
              </w:r>
            </w:hyperlink>
          </w:p>
        </w:tc>
      </w:tr>
    </w:tbl>
    <w:p w:rsidR="006B1CA7" w:rsidRDefault="006B1CA7"/>
    <w:p w:rsidR="006B1CA7" w:rsidRDefault="006B1CA7"/>
    <w:p w:rsidR="006B1CA7" w:rsidRDefault="006B1CA7"/>
    <w:p w:rsidR="006B1CA7" w:rsidRDefault="006B1CA7"/>
    <w:p w:rsidR="006B1CA7" w:rsidRDefault="006B1CA7"/>
    <w:p w:rsidR="006B1CA7" w:rsidRDefault="006B1CA7"/>
    <w:p w:rsidR="006B1CA7" w:rsidRDefault="006B1CA7"/>
    <w:p w:rsidR="007F71E6" w:rsidRPr="007F71E6" w:rsidRDefault="007F71E6" w:rsidP="006A195C">
      <w:pPr>
        <w:jc w:val="both"/>
        <w:rPr>
          <w:rFonts w:cstheme="minorHAnsi"/>
        </w:rPr>
      </w:pPr>
    </w:p>
    <w:p w:rsidR="007F71E6" w:rsidRPr="007F71E6" w:rsidRDefault="007F71E6" w:rsidP="006A195C">
      <w:pPr>
        <w:jc w:val="both"/>
        <w:rPr>
          <w:rFonts w:cstheme="minorHAnsi"/>
        </w:rPr>
      </w:pPr>
    </w:p>
    <w:p w:rsidR="007F71E6" w:rsidRPr="003022CA" w:rsidRDefault="007F71E6" w:rsidP="007F71E6">
      <w:pPr>
        <w:jc w:val="both"/>
      </w:pPr>
    </w:p>
    <w:sectPr w:rsidR="007F71E6" w:rsidRPr="003022CA" w:rsidSect="00A7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91E"/>
    <w:multiLevelType w:val="hybridMultilevel"/>
    <w:tmpl w:val="2B84DDB0"/>
    <w:lvl w:ilvl="0" w:tplc="60F06F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46E6"/>
    <w:multiLevelType w:val="multilevel"/>
    <w:tmpl w:val="52E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C3BD8"/>
    <w:multiLevelType w:val="hybridMultilevel"/>
    <w:tmpl w:val="0758F5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435E5D"/>
    <w:multiLevelType w:val="hybridMultilevel"/>
    <w:tmpl w:val="C9D81662"/>
    <w:lvl w:ilvl="0" w:tplc="38A0DA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5351F"/>
    <w:multiLevelType w:val="multilevel"/>
    <w:tmpl w:val="D10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7413"/>
    <w:multiLevelType w:val="multilevel"/>
    <w:tmpl w:val="A72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82398"/>
    <w:multiLevelType w:val="hybridMultilevel"/>
    <w:tmpl w:val="7A602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D247A"/>
    <w:multiLevelType w:val="multilevel"/>
    <w:tmpl w:val="399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028E9"/>
    <w:multiLevelType w:val="multilevel"/>
    <w:tmpl w:val="5AB4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306A5"/>
    <w:multiLevelType w:val="multilevel"/>
    <w:tmpl w:val="0E0A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D3F24"/>
    <w:multiLevelType w:val="hybridMultilevel"/>
    <w:tmpl w:val="EF9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82339"/>
    <w:multiLevelType w:val="multilevel"/>
    <w:tmpl w:val="D10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A255C"/>
    <w:multiLevelType w:val="hybridMultilevel"/>
    <w:tmpl w:val="EF7E6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31469"/>
    <w:multiLevelType w:val="multilevel"/>
    <w:tmpl w:val="8672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5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31"/>
    <w:rsid w:val="00242337"/>
    <w:rsid w:val="00255AC0"/>
    <w:rsid w:val="0027157B"/>
    <w:rsid w:val="00273131"/>
    <w:rsid w:val="003022CA"/>
    <w:rsid w:val="00352E68"/>
    <w:rsid w:val="00486CAC"/>
    <w:rsid w:val="005162A6"/>
    <w:rsid w:val="005355DA"/>
    <w:rsid w:val="005B33AA"/>
    <w:rsid w:val="005F766E"/>
    <w:rsid w:val="006A195C"/>
    <w:rsid w:val="006B1CA7"/>
    <w:rsid w:val="007F71E6"/>
    <w:rsid w:val="00825E55"/>
    <w:rsid w:val="00A408EF"/>
    <w:rsid w:val="00A75710"/>
    <w:rsid w:val="00AD7C4B"/>
    <w:rsid w:val="00BC7046"/>
    <w:rsid w:val="00D4085E"/>
    <w:rsid w:val="00E1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1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9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95C"/>
    <w:pPr>
      <w:ind w:left="720"/>
      <w:contextualSpacing/>
    </w:pPr>
  </w:style>
  <w:style w:type="paragraph" w:styleId="NormalWeb">
    <w:name w:val="Normal (Web)"/>
    <w:basedOn w:val="Normal"/>
    <w:uiPriority w:val="99"/>
    <w:rsid w:val="007F71E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233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3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C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horizon/wp-call/2021-2022/wp-10-european-innovation-ecosystems_horizon-2021-2022_en.pdf" TargetMode="External"/><Relationship Id="rId13" Type="http://schemas.openxmlformats.org/officeDocument/2006/relationships/hyperlink" Target="https://ec.europa.eu/info/funding-tenders/opportunities/docs/2021-2027/horizon/wp-call/2021-2022/wp-13-general-annexes_horizon-2021-2022_e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c.europa.eu/info/funding-tenders/opportunities/portal/screen/opportunities/topic-details/horizon-eie-2022-scaleup-02-01;callCode=null;freeTextSearchKeyword=;matchWholeText=true;typeCodes=0,1,2;statusCodes=31094501;programmePeriod=2021%20-%202027;programCcm2Id=43108390;programDivisionCode=43121692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2" Type="http://schemas.openxmlformats.org/officeDocument/2006/relationships/hyperlink" Target="https://ec.europa.eu/info/funding-tenders/opportunities/docs/2021-2027/horizon/wp-call/2021-2022/wp-10-european-innovation-ecosystems_horizon-2021-2022_e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c.europa.eu/info/funding-tenders/opportunities/docs/2021-2027/horizon/wp-call/2021-2022/wp-1-general-introduction_horizon-2021-2022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funding-tenders/opportunities/docs/2021-2027/horizon/temp-form/ef/ef_he-csa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docs/2021-2027/horizon/temp-form/af/af_he-csa_en.pdf" TargetMode="External"/><Relationship Id="rId14" Type="http://schemas.openxmlformats.org/officeDocument/2006/relationships/hyperlink" Target="https://ec.europa.eu/info/funding-tenders/opportunities/docs/2021-2027/horizon/guidance/programme-guide_horizon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5B3F-FF4C-413B-A164-41B44611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1140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12</cp:revision>
  <dcterms:created xsi:type="dcterms:W3CDTF">2021-03-29T09:09:00Z</dcterms:created>
  <dcterms:modified xsi:type="dcterms:W3CDTF">2021-08-30T08:59:00Z</dcterms:modified>
</cp:coreProperties>
</file>