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8A8" w14:textId="77777777" w:rsidR="00E31E70" w:rsidRDefault="00E31E70" w:rsidP="00E31E70">
      <w:pPr>
        <w:pStyle w:val="Default"/>
      </w:pPr>
    </w:p>
    <w:p w14:paraId="59585AE7" w14:textId="2DECE7BB" w:rsidR="00E31E70" w:rsidRDefault="00E31E70" w:rsidP="00A17135">
      <w:pPr>
        <w:pStyle w:val="Default"/>
        <w:jc w:val="center"/>
        <w:rPr>
          <w:sz w:val="28"/>
          <w:szCs w:val="28"/>
        </w:rPr>
      </w:pPr>
      <w:r>
        <w:rPr>
          <w:b/>
          <w:bCs/>
          <w:sz w:val="28"/>
          <w:szCs w:val="28"/>
        </w:rPr>
        <w:t>LINEE GUI</w:t>
      </w:r>
      <w:r w:rsidR="00D22E79">
        <w:rPr>
          <w:b/>
          <w:bCs/>
          <w:sz w:val="28"/>
          <w:szCs w:val="28"/>
        </w:rPr>
        <w:t xml:space="preserve">DA IN MATERIA DI AMMISSIBILITÀ </w:t>
      </w:r>
      <w:r>
        <w:rPr>
          <w:b/>
          <w:bCs/>
          <w:sz w:val="28"/>
          <w:szCs w:val="28"/>
        </w:rPr>
        <w:t>DELLA SPESA</w:t>
      </w:r>
    </w:p>
    <w:p w14:paraId="2DA440C3" w14:textId="77777777" w:rsidR="00315DF9" w:rsidRDefault="00315DF9" w:rsidP="00E31E70">
      <w:pPr>
        <w:pStyle w:val="Default"/>
        <w:rPr>
          <w:rFonts w:cstheme="minorBidi"/>
          <w:color w:val="auto"/>
        </w:rPr>
      </w:pPr>
    </w:p>
    <w:p w14:paraId="11554173" w14:textId="77777777" w:rsidR="00315DF9" w:rsidRDefault="00315DF9" w:rsidP="00315DF9">
      <w:pPr>
        <w:autoSpaceDE w:val="0"/>
        <w:autoSpaceDN w:val="0"/>
        <w:adjustRightInd w:val="0"/>
        <w:spacing w:after="0" w:line="240" w:lineRule="auto"/>
        <w:rPr>
          <w:rFonts w:ascii="Arial" w:hAnsi="Arial" w:cs="Arial"/>
          <w:b/>
          <w:bCs/>
          <w:sz w:val="31"/>
          <w:szCs w:val="31"/>
        </w:rPr>
      </w:pPr>
    </w:p>
    <w:p w14:paraId="0EBC8CA2"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Affinché una spesa possa essere considerata ammissibile alle agevolazioni, è necessario in particolare che sia:</w:t>
      </w:r>
    </w:p>
    <w:p w14:paraId="726BCAA3" w14:textId="0F0C09F8"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 </w:t>
      </w:r>
      <w:r>
        <w:rPr>
          <w:rFonts w:ascii="Arial" w:hAnsi="Arial" w:cs="Arial"/>
          <w:b/>
          <w:bCs/>
          <w:sz w:val="23"/>
          <w:szCs w:val="23"/>
        </w:rPr>
        <w:t xml:space="preserve">imputabile </w:t>
      </w:r>
      <w:r>
        <w:rPr>
          <w:rFonts w:ascii="Arial" w:hAnsi="Arial" w:cs="Arial"/>
          <w:sz w:val="23"/>
          <w:szCs w:val="23"/>
        </w:rPr>
        <w:t>all’intervento ammesso a finanziamento</w:t>
      </w:r>
      <w:r w:rsidR="00EB6169">
        <w:rPr>
          <w:rFonts w:ascii="Arial" w:hAnsi="Arial" w:cs="Arial"/>
          <w:sz w:val="23"/>
          <w:szCs w:val="23"/>
        </w:rPr>
        <w:t>;</w:t>
      </w:r>
    </w:p>
    <w:p w14:paraId="2C49BA5D" w14:textId="22D1F47F"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2. </w:t>
      </w:r>
      <w:r>
        <w:rPr>
          <w:rFonts w:ascii="Arial" w:hAnsi="Arial" w:cs="Arial"/>
          <w:b/>
          <w:bCs/>
          <w:sz w:val="23"/>
          <w:szCs w:val="23"/>
        </w:rPr>
        <w:t xml:space="preserve">riconducibile </w:t>
      </w:r>
      <w:r>
        <w:rPr>
          <w:rFonts w:ascii="Arial" w:hAnsi="Arial" w:cs="Arial"/>
          <w:sz w:val="23"/>
          <w:szCs w:val="23"/>
        </w:rPr>
        <w:t>ad una delle categorie di spesa indicate nel</w:t>
      </w:r>
      <w:r w:rsidR="00EB6169">
        <w:rPr>
          <w:rFonts w:ascii="Arial" w:hAnsi="Arial" w:cs="Arial"/>
          <w:sz w:val="23"/>
          <w:szCs w:val="23"/>
        </w:rPr>
        <w:t xml:space="preserve">l’Avviso </w:t>
      </w:r>
      <w:r>
        <w:rPr>
          <w:rFonts w:ascii="Arial" w:hAnsi="Arial" w:cs="Arial"/>
          <w:sz w:val="23"/>
          <w:szCs w:val="23"/>
        </w:rPr>
        <w:t>come ammissibile;</w:t>
      </w:r>
    </w:p>
    <w:p w14:paraId="237F5209"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3. </w:t>
      </w:r>
      <w:r>
        <w:rPr>
          <w:rFonts w:ascii="Arial" w:hAnsi="Arial" w:cs="Arial"/>
          <w:b/>
          <w:bCs/>
          <w:sz w:val="23"/>
          <w:szCs w:val="23"/>
        </w:rPr>
        <w:t xml:space="preserve">pertinente, </w:t>
      </w:r>
      <w:r>
        <w:rPr>
          <w:rFonts w:ascii="Arial" w:hAnsi="Arial" w:cs="Arial"/>
          <w:sz w:val="23"/>
          <w:szCs w:val="23"/>
        </w:rPr>
        <w:t>ovvero sia che sussista una relazione specifica tra la spesa sostenuta e l’attività oggetto del progetto/investimento. I costi per l’attività di ricerca industriale (RI) e quelli per l’attività di sviluppo sperimentale (SS) vanno rilevati separatamente.</w:t>
      </w:r>
    </w:p>
    <w:p w14:paraId="667AEB59"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Pertanto il soggetto finanziato dovrà tenere separati i costi delle due tipologie di attività;</w:t>
      </w:r>
    </w:p>
    <w:p w14:paraId="14A3AB7F" w14:textId="14A28B13"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4. </w:t>
      </w:r>
      <w:r>
        <w:rPr>
          <w:rFonts w:ascii="Arial" w:hAnsi="Arial" w:cs="Arial"/>
          <w:b/>
          <w:bCs/>
          <w:sz w:val="23"/>
          <w:szCs w:val="23"/>
        </w:rPr>
        <w:t>effettiva</w:t>
      </w:r>
      <w:r>
        <w:rPr>
          <w:rFonts w:ascii="Arial" w:hAnsi="Arial" w:cs="Arial"/>
          <w:sz w:val="23"/>
          <w:szCs w:val="23"/>
        </w:rPr>
        <w:t>, cioè riferita a spese effettivamente sostenute nel periodo deliberato per lo svolgimento della ricerca e corrispondenti a pagamenti effettuati e liquidati in tale periodo dal soggetto beneficiario; varrà cioè per essi il criterio di “cassa” con le sole eccezion</w:t>
      </w:r>
      <w:r w:rsidR="00EB6169">
        <w:rPr>
          <w:rFonts w:ascii="Arial" w:hAnsi="Arial" w:cs="Arial"/>
          <w:sz w:val="23"/>
          <w:szCs w:val="23"/>
        </w:rPr>
        <w:t>i</w:t>
      </w:r>
      <w:r>
        <w:rPr>
          <w:rFonts w:ascii="Arial" w:hAnsi="Arial" w:cs="Arial"/>
          <w:sz w:val="23"/>
          <w:szCs w:val="23"/>
        </w:rPr>
        <w:t xml:space="preserve"> di quei costi che, per dettato normativo, sono soggetti a pagamento differito (ad esempio contribuzione dei dipendenti, ritenute d’acconto, TFR, ecc.);</w:t>
      </w:r>
    </w:p>
    <w:p w14:paraId="65F6EBC5"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5. </w:t>
      </w:r>
      <w:r>
        <w:rPr>
          <w:rFonts w:ascii="Arial" w:hAnsi="Arial" w:cs="Arial"/>
          <w:b/>
          <w:bCs/>
          <w:sz w:val="23"/>
          <w:szCs w:val="23"/>
        </w:rPr>
        <w:t xml:space="preserve">reale </w:t>
      </w:r>
      <w:r>
        <w:rPr>
          <w:rFonts w:ascii="Arial" w:hAnsi="Arial" w:cs="Arial"/>
          <w:sz w:val="23"/>
          <w:szCs w:val="23"/>
        </w:rPr>
        <w:t>cioè in grado di poter essere verificata in base ad un metodo controllabile al momento della rendicontazione delle spese;</w:t>
      </w:r>
    </w:p>
    <w:p w14:paraId="4CBFCD17"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6. </w:t>
      </w:r>
      <w:r>
        <w:rPr>
          <w:rFonts w:ascii="Arial" w:hAnsi="Arial" w:cs="Arial"/>
          <w:b/>
          <w:bCs/>
          <w:sz w:val="23"/>
          <w:szCs w:val="23"/>
        </w:rPr>
        <w:t xml:space="preserve">sostenuta </w:t>
      </w:r>
      <w:r>
        <w:rPr>
          <w:rFonts w:ascii="Arial" w:hAnsi="Arial" w:cs="Arial"/>
          <w:sz w:val="23"/>
          <w:szCs w:val="23"/>
        </w:rPr>
        <w:t>nell’arco temporale definito in precedenza e secondo quanto specificato al precedente punto 4;</w:t>
      </w:r>
    </w:p>
    <w:p w14:paraId="752BD41A" w14:textId="1C7DF919"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7. </w:t>
      </w:r>
      <w:r>
        <w:rPr>
          <w:rFonts w:ascii="Arial" w:hAnsi="Arial" w:cs="Arial"/>
          <w:b/>
          <w:bCs/>
          <w:sz w:val="23"/>
          <w:szCs w:val="23"/>
        </w:rPr>
        <w:t xml:space="preserve">comprovata </w:t>
      </w:r>
      <w:r>
        <w:rPr>
          <w:rFonts w:ascii="Arial" w:hAnsi="Arial" w:cs="Arial"/>
          <w:sz w:val="23"/>
          <w:szCs w:val="23"/>
        </w:rPr>
        <w:t xml:space="preserve">da fatture quietanzate; ove ciò non sia possibile, deve essere comprovato da documenti contabili aventi forza probatoria equivalente. Si ribadisce che i pagamenti devono essere sempre effettuati con </w:t>
      </w:r>
      <w:r>
        <w:rPr>
          <w:rFonts w:ascii="Arial" w:hAnsi="Arial" w:cs="Arial"/>
          <w:b/>
          <w:bCs/>
          <w:sz w:val="23"/>
          <w:szCs w:val="23"/>
        </w:rPr>
        <w:t>bonifico bancario, ricevuta bancaria</w:t>
      </w:r>
      <w:r>
        <w:rPr>
          <w:rFonts w:ascii="Arial" w:hAnsi="Arial" w:cs="Arial"/>
          <w:sz w:val="23"/>
          <w:szCs w:val="23"/>
        </w:rPr>
        <w:t xml:space="preserve"> </w:t>
      </w:r>
      <w:r>
        <w:rPr>
          <w:rFonts w:ascii="Arial" w:hAnsi="Arial" w:cs="Arial"/>
          <w:b/>
          <w:bCs/>
          <w:sz w:val="23"/>
          <w:szCs w:val="23"/>
        </w:rPr>
        <w:t xml:space="preserve">(RI.BA), carta di credito aziendale </w:t>
      </w:r>
      <w:r>
        <w:rPr>
          <w:rFonts w:ascii="Arial" w:hAnsi="Arial" w:cs="Arial"/>
          <w:sz w:val="23"/>
          <w:szCs w:val="23"/>
        </w:rPr>
        <w:t xml:space="preserve">(con esclusione quindi dell’utilizzo di carte di credito personali di titolari/soci/legali rappresentanti) </w:t>
      </w:r>
      <w:r>
        <w:rPr>
          <w:rFonts w:ascii="Arial" w:hAnsi="Arial" w:cs="Arial"/>
          <w:b/>
          <w:bCs/>
          <w:sz w:val="23"/>
          <w:szCs w:val="23"/>
        </w:rPr>
        <w:t>o altro strumento di pagamento</w:t>
      </w:r>
      <w:r>
        <w:rPr>
          <w:rFonts w:ascii="Arial" w:hAnsi="Arial" w:cs="Arial"/>
          <w:sz w:val="23"/>
          <w:szCs w:val="23"/>
        </w:rPr>
        <w:t xml:space="preserve"> </w:t>
      </w:r>
      <w:r>
        <w:rPr>
          <w:rFonts w:ascii="Arial" w:hAnsi="Arial" w:cs="Arial"/>
          <w:b/>
          <w:bCs/>
          <w:sz w:val="23"/>
          <w:szCs w:val="23"/>
        </w:rPr>
        <w:t xml:space="preserve">di cui sia </w:t>
      </w:r>
      <w:r w:rsidR="006B392A">
        <w:rPr>
          <w:rFonts w:ascii="Arial" w:hAnsi="Arial" w:cs="Arial"/>
          <w:b/>
          <w:bCs/>
          <w:sz w:val="23"/>
          <w:szCs w:val="23"/>
        </w:rPr>
        <w:t>tracciato</w:t>
      </w:r>
      <w:r>
        <w:rPr>
          <w:rFonts w:ascii="Arial" w:hAnsi="Arial" w:cs="Arial"/>
          <w:b/>
          <w:bCs/>
          <w:sz w:val="23"/>
          <w:szCs w:val="23"/>
        </w:rPr>
        <w:t xml:space="preserve"> il sottostante movimento finanziario</w:t>
      </w:r>
      <w:r>
        <w:rPr>
          <w:rFonts w:ascii="Arial" w:hAnsi="Arial" w:cs="Arial"/>
          <w:sz w:val="23"/>
          <w:szCs w:val="23"/>
        </w:rPr>
        <w:t>. La causale di detti giustificativi dovrà riportare l’indicazione degli estremi del titolo di spesa cui il pagamento si riferisce (numero e data della fattura associata). In tutti i casi occorre produrre copia dell’estratto del conto corrente intestato all’impresa beneficiaria da cui risulti l’addebito.</w:t>
      </w:r>
    </w:p>
    <w:p w14:paraId="66D7E94F" w14:textId="62AB58B0" w:rsidR="001258AE" w:rsidRDefault="001258AE" w:rsidP="00315DF9">
      <w:pPr>
        <w:autoSpaceDE w:val="0"/>
        <w:autoSpaceDN w:val="0"/>
        <w:adjustRightInd w:val="0"/>
        <w:spacing w:after="0" w:line="240" w:lineRule="auto"/>
        <w:jc w:val="both"/>
        <w:rPr>
          <w:rFonts w:ascii="Arial" w:hAnsi="Arial" w:cs="Arial"/>
          <w:sz w:val="23"/>
          <w:szCs w:val="23"/>
        </w:rPr>
      </w:pPr>
      <w:r w:rsidRPr="001258AE">
        <w:rPr>
          <w:rFonts w:ascii="Arial" w:hAnsi="Arial" w:cs="Arial"/>
          <w:sz w:val="23"/>
          <w:szCs w:val="23"/>
        </w:rPr>
        <w:t>Qualora vengano effettuati pagamenti cumulativi di più titoli di spesa, il soggetto beneficiario deve comunque garantire in modo inequivocabile la tracciabilità dei pagamenti stessi dando evidenza dei singoli pagamenti che confluiscono nel pagamento cumulativo. In particolare, a fronte di una disposizione per un importo complessivo, come risultante dall’estratto conto o dalla disposizione di bonifico (da presentare con la conferma di esecuzione da parte della Banca), deve essere fornita la lista dei singoli importi con il dettaglio del relativo titolo di spesa che compongo</w:t>
      </w:r>
      <w:r w:rsidR="00480D84">
        <w:rPr>
          <w:rFonts w:ascii="Arial" w:hAnsi="Arial" w:cs="Arial"/>
          <w:sz w:val="23"/>
          <w:szCs w:val="23"/>
        </w:rPr>
        <w:t>no l’importo complessivo stesso.</w:t>
      </w:r>
    </w:p>
    <w:p w14:paraId="2D74E71A" w14:textId="7097F7B9" w:rsidR="00315DF9" w:rsidRDefault="00480D84"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w:t>
      </w:r>
      <w:r w:rsidR="00315DF9">
        <w:rPr>
          <w:rFonts w:ascii="Arial" w:hAnsi="Arial" w:cs="Arial"/>
          <w:sz w:val="23"/>
          <w:szCs w:val="23"/>
        </w:rPr>
        <w:t>n caso di utilizzo della carta di credito aziendale, al fine di dimostrare l’effettivo e definitivo esborso finanziario da parte del beneficiario, è necessario produrre:</w:t>
      </w:r>
    </w:p>
    <w:p w14:paraId="78D29B72"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sz w:val="23"/>
          <w:szCs w:val="23"/>
        </w:rPr>
        <w:t>copia dell’estratto conto della carta di credito (presumibilmente mensile);</w:t>
      </w:r>
    </w:p>
    <w:p w14:paraId="42A25DCC"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sz w:val="23"/>
          <w:szCs w:val="23"/>
        </w:rPr>
        <w:t>copia dell’estratto conto bancario (presumibilmente del mese successivo) da cui risulti l’addebito, nel c/c intestato all’impresa beneficiaria, del “rimborso a saldo” delle spese/pagamenti effettuati tramite carta di credito nel mese precedente.</w:t>
      </w:r>
    </w:p>
    <w:p w14:paraId="69F53ED6" w14:textId="3ABE1B90" w:rsidR="0020375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Saranno esclusi dalle agevolazioni gli importi pagati con modalità diverse da quelle sopra elencate</w:t>
      </w:r>
      <w:r w:rsidR="00EB6169">
        <w:rPr>
          <w:rFonts w:ascii="Arial" w:hAnsi="Arial" w:cs="Arial"/>
          <w:sz w:val="23"/>
          <w:szCs w:val="23"/>
        </w:rPr>
        <w:t>.</w:t>
      </w:r>
      <w:r>
        <w:rPr>
          <w:rFonts w:ascii="Arial" w:hAnsi="Arial" w:cs="Arial"/>
          <w:sz w:val="23"/>
          <w:szCs w:val="23"/>
        </w:rPr>
        <w:t xml:space="preserve"> </w:t>
      </w:r>
    </w:p>
    <w:p w14:paraId="00788EE2"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8. </w:t>
      </w:r>
      <w:r>
        <w:rPr>
          <w:rFonts w:ascii="Arial" w:hAnsi="Arial" w:cs="Arial"/>
          <w:b/>
          <w:bCs/>
          <w:sz w:val="23"/>
          <w:szCs w:val="23"/>
        </w:rPr>
        <w:t>legittima</w:t>
      </w:r>
      <w:r>
        <w:rPr>
          <w:rFonts w:ascii="Arial" w:hAnsi="Arial" w:cs="Arial"/>
          <w:sz w:val="23"/>
          <w:szCs w:val="23"/>
        </w:rPr>
        <w:t>, cioè sostenuta da documentazione conforme alla normativa fiscale, contabile e civilistica vigente;</w:t>
      </w:r>
    </w:p>
    <w:p w14:paraId="2C0E203C" w14:textId="76D25D96"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9. </w:t>
      </w:r>
      <w:r>
        <w:rPr>
          <w:rFonts w:ascii="Arial" w:hAnsi="Arial" w:cs="Arial"/>
          <w:b/>
          <w:bCs/>
          <w:sz w:val="23"/>
          <w:szCs w:val="23"/>
        </w:rPr>
        <w:t>compatibile</w:t>
      </w:r>
      <w:r>
        <w:rPr>
          <w:rFonts w:ascii="Arial" w:hAnsi="Arial" w:cs="Arial"/>
          <w:sz w:val="23"/>
          <w:szCs w:val="23"/>
        </w:rPr>
        <w:t xml:space="preserve">, in termini di ammontare, rispetto a massimali eventualmente stabiliti </w:t>
      </w:r>
      <w:r w:rsidR="00EB6169">
        <w:rPr>
          <w:rFonts w:ascii="Arial" w:hAnsi="Arial" w:cs="Arial"/>
          <w:sz w:val="23"/>
          <w:szCs w:val="23"/>
        </w:rPr>
        <w:t>dall’Avviso</w:t>
      </w:r>
      <w:r>
        <w:rPr>
          <w:rFonts w:ascii="Arial" w:hAnsi="Arial" w:cs="Arial"/>
          <w:sz w:val="23"/>
          <w:szCs w:val="23"/>
        </w:rPr>
        <w:t>.</w:t>
      </w:r>
    </w:p>
    <w:p w14:paraId="7066B7D4" w14:textId="77777777" w:rsidR="003634BA" w:rsidRDefault="003634BA" w:rsidP="00315DF9">
      <w:pPr>
        <w:autoSpaceDE w:val="0"/>
        <w:autoSpaceDN w:val="0"/>
        <w:adjustRightInd w:val="0"/>
        <w:spacing w:after="0" w:line="240" w:lineRule="auto"/>
        <w:jc w:val="both"/>
        <w:rPr>
          <w:rFonts w:ascii="Arial" w:hAnsi="Arial" w:cs="Arial"/>
          <w:sz w:val="23"/>
          <w:szCs w:val="23"/>
        </w:rPr>
      </w:pPr>
    </w:p>
    <w:p w14:paraId="34F7771D" w14:textId="7FCDD906" w:rsidR="00315DF9" w:rsidRDefault="00315DF9" w:rsidP="00315DF9">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 xml:space="preserve">Non sono ammissibili i costi riferiti a consulenze, attività e prestazioni affidate a persone fisiche che abbiano rapporti di cointeressenza con il soggetto finanziato (ad esempio amministratore unico, amministratore delegato, membri del consiglio di </w:t>
      </w:r>
      <w:r>
        <w:rPr>
          <w:rFonts w:ascii="Arial" w:hAnsi="Arial" w:cs="Arial"/>
          <w:b/>
          <w:bCs/>
          <w:sz w:val="23"/>
          <w:szCs w:val="23"/>
        </w:rPr>
        <w:lastRenderedPageBreak/>
        <w:t xml:space="preserve">amministrazione, soci ecc.) ovvero i loro coniugi e parenti entro il terzo grado, </w:t>
      </w:r>
      <w:r w:rsidRPr="00691A76">
        <w:rPr>
          <w:rFonts w:ascii="Arial" w:hAnsi="Arial" w:cs="Arial"/>
          <w:b/>
          <w:bCs/>
          <w:sz w:val="23"/>
          <w:szCs w:val="23"/>
        </w:rPr>
        <w:t>salvo le eccezioni contemplate all’A</w:t>
      </w:r>
      <w:r w:rsidR="00ED33D2" w:rsidRPr="00691A76">
        <w:rPr>
          <w:rFonts w:ascii="Arial" w:hAnsi="Arial" w:cs="Arial"/>
          <w:b/>
          <w:bCs/>
          <w:sz w:val="23"/>
          <w:szCs w:val="23"/>
        </w:rPr>
        <w:t xml:space="preserve">rt. </w:t>
      </w:r>
      <w:r w:rsidR="001E25F3">
        <w:rPr>
          <w:rFonts w:ascii="Arial" w:hAnsi="Arial" w:cs="Arial"/>
          <w:b/>
          <w:bCs/>
          <w:sz w:val="23"/>
          <w:szCs w:val="23"/>
        </w:rPr>
        <w:t>7</w:t>
      </w:r>
      <w:r w:rsidR="00ED33D2" w:rsidRPr="00691A76">
        <w:rPr>
          <w:rFonts w:ascii="Arial" w:hAnsi="Arial" w:cs="Arial"/>
          <w:b/>
          <w:bCs/>
          <w:sz w:val="23"/>
          <w:szCs w:val="23"/>
        </w:rPr>
        <w:t xml:space="preserve">.2 </w:t>
      </w:r>
      <w:r w:rsidR="001E25F3">
        <w:rPr>
          <w:rFonts w:ascii="Arial" w:hAnsi="Arial" w:cs="Arial"/>
          <w:b/>
          <w:bCs/>
          <w:sz w:val="23"/>
          <w:szCs w:val="23"/>
        </w:rPr>
        <w:t>dell’Avviso</w:t>
      </w:r>
      <w:r w:rsidRPr="00691A76">
        <w:rPr>
          <w:rFonts w:ascii="Arial" w:hAnsi="Arial" w:cs="Arial"/>
          <w:b/>
          <w:bCs/>
          <w:sz w:val="23"/>
          <w:szCs w:val="23"/>
        </w:rPr>
        <w:t>.</w:t>
      </w:r>
    </w:p>
    <w:p w14:paraId="2FA73BE0" w14:textId="77777777" w:rsidR="003634BA" w:rsidRDefault="003634BA" w:rsidP="00315DF9">
      <w:pPr>
        <w:autoSpaceDE w:val="0"/>
        <w:autoSpaceDN w:val="0"/>
        <w:adjustRightInd w:val="0"/>
        <w:spacing w:after="0" w:line="240" w:lineRule="auto"/>
        <w:jc w:val="both"/>
        <w:rPr>
          <w:rFonts w:ascii="Arial" w:hAnsi="Arial" w:cs="Arial"/>
          <w:b/>
          <w:bCs/>
          <w:sz w:val="23"/>
          <w:szCs w:val="23"/>
        </w:rPr>
      </w:pPr>
    </w:p>
    <w:p w14:paraId="14A1664C"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Per la quantificazione in Euro dei pagamenti in valuta estera, occorre distinguere:</w:t>
      </w:r>
    </w:p>
    <w:p w14:paraId="0EDE29C5" w14:textId="77777777" w:rsidR="00315DF9" w:rsidRPr="00315DF9" w:rsidRDefault="00315DF9" w:rsidP="00315DF9">
      <w:pPr>
        <w:autoSpaceDE w:val="0"/>
        <w:autoSpaceDN w:val="0"/>
        <w:adjustRightInd w:val="0"/>
        <w:spacing w:after="0" w:line="240" w:lineRule="auto"/>
        <w:jc w:val="both"/>
        <w:rPr>
          <w:rFonts w:ascii="Arial" w:hAnsi="Arial" w:cs="Arial"/>
          <w:i/>
          <w:iCs/>
          <w:sz w:val="23"/>
          <w:szCs w:val="23"/>
        </w:rPr>
      </w:pPr>
      <w:r>
        <w:rPr>
          <w:rFonts w:ascii="Symbol" w:hAnsi="Symbol" w:cs="Symbol"/>
          <w:sz w:val="23"/>
          <w:szCs w:val="23"/>
        </w:rPr>
        <w:t></w:t>
      </w:r>
      <w:r>
        <w:rPr>
          <w:rFonts w:ascii="Symbol" w:hAnsi="Symbol" w:cs="Symbol"/>
          <w:sz w:val="23"/>
          <w:szCs w:val="23"/>
        </w:rPr>
        <w:t></w:t>
      </w:r>
      <w:r>
        <w:rPr>
          <w:rFonts w:ascii="Arial" w:hAnsi="Arial" w:cs="Arial"/>
          <w:i/>
          <w:iCs/>
          <w:sz w:val="23"/>
          <w:szCs w:val="23"/>
        </w:rPr>
        <w:t xml:space="preserve">pagamenti con addebito su conto. </w:t>
      </w:r>
      <w:r>
        <w:rPr>
          <w:rFonts w:ascii="Arial" w:hAnsi="Arial" w:cs="Arial"/>
          <w:sz w:val="23"/>
          <w:szCs w:val="23"/>
        </w:rPr>
        <w:t>In tal caso il relativo controvalore è ottenuto sulla base del cambio utilizzato per la</w:t>
      </w:r>
      <w:r>
        <w:rPr>
          <w:rFonts w:ascii="Arial" w:hAnsi="Arial" w:cs="Arial"/>
          <w:i/>
          <w:iCs/>
          <w:sz w:val="23"/>
          <w:szCs w:val="23"/>
        </w:rPr>
        <w:t xml:space="preserve"> </w:t>
      </w:r>
      <w:r>
        <w:rPr>
          <w:rFonts w:ascii="Arial" w:hAnsi="Arial" w:cs="Arial"/>
          <w:sz w:val="23"/>
          <w:szCs w:val="23"/>
        </w:rPr>
        <w:t>transazione nel giorno di effettivo pagamento.</w:t>
      </w:r>
    </w:p>
    <w:p w14:paraId="7BF53694" w14:textId="77777777" w:rsidR="00315DF9" w:rsidRDefault="00315DF9" w:rsidP="00315DF9">
      <w:pPr>
        <w:autoSpaceDE w:val="0"/>
        <w:autoSpaceDN w:val="0"/>
        <w:adjustRightInd w:val="0"/>
        <w:spacing w:after="0" w:line="240" w:lineRule="auto"/>
        <w:jc w:val="both"/>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i/>
          <w:iCs/>
          <w:sz w:val="23"/>
          <w:szCs w:val="23"/>
        </w:rPr>
        <w:t xml:space="preserve">pagamenti effettuati direttamente in valuta estera. </w:t>
      </w:r>
      <w:r>
        <w:rPr>
          <w:rFonts w:ascii="Arial" w:hAnsi="Arial" w:cs="Arial"/>
          <w:sz w:val="23"/>
          <w:szCs w:val="23"/>
        </w:rPr>
        <w:t>In tal caso il controvalore sarà determinato sulla base del tasso giornaliero di</w:t>
      </w:r>
      <w:r>
        <w:rPr>
          <w:rFonts w:ascii="Arial" w:hAnsi="Arial" w:cs="Arial"/>
          <w:i/>
          <w:iCs/>
          <w:sz w:val="23"/>
          <w:szCs w:val="23"/>
        </w:rPr>
        <w:t xml:space="preserve"> </w:t>
      </w:r>
      <w:r>
        <w:rPr>
          <w:rFonts w:ascii="Arial" w:hAnsi="Arial" w:cs="Arial"/>
          <w:sz w:val="23"/>
          <w:szCs w:val="23"/>
        </w:rPr>
        <w:t>riferimento, relativo al giorno di effettivo pagamento, comunicato giornalmente dalla</w:t>
      </w:r>
      <w:r>
        <w:rPr>
          <w:rFonts w:ascii="Arial" w:hAnsi="Arial" w:cs="Arial"/>
          <w:i/>
          <w:iCs/>
          <w:sz w:val="23"/>
          <w:szCs w:val="23"/>
        </w:rPr>
        <w:t xml:space="preserve"> </w:t>
      </w:r>
      <w:r>
        <w:rPr>
          <w:rFonts w:ascii="Arial" w:hAnsi="Arial" w:cs="Arial"/>
          <w:sz w:val="23"/>
          <w:szCs w:val="23"/>
        </w:rPr>
        <w:t>Banca d'Italia mediante pubblicazione sulla Gazzetta Ufficiale. Restano in ogni caso</w:t>
      </w:r>
      <w:r>
        <w:rPr>
          <w:rFonts w:ascii="Arial" w:hAnsi="Arial" w:cs="Arial"/>
          <w:i/>
          <w:iCs/>
          <w:sz w:val="23"/>
          <w:szCs w:val="23"/>
        </w:rPr>
        <w:t xml:space="preserve"> </w:t>
      </w:r>
      <w:r>
        <w:rPr>
          <w:rFonts w:ascii="Arial" w:hAnsi="Arial" w:cs="Arial"/>
          <w:sz w:val="23"/>
          <w:szCs w:val="23"/>
        </w:rPr>
        <w:t>esclusi gli oneri per spese e commissioni.</w:t>
      </w:r>
    </w:p>
    <w:p w14:paraId="1BC60117" w14:textId="77777777" w:rsidR="006B392A" w:rsidRDefault="006B392A" w:rsidP="00315DF9">
      <w:pPr>
        <w:autoSpaceDE w:val="0"/>
        <w:autoSpaceDN w:val="0"/>
        <w:adjustRightInd w:val="0"/>
        <w:spacing w:after="0" w:line="240" w:lineRule="auto"/>
        <w:jc w:val="both"/>
        <w:rPr>
          <w:rFonts w:ascii="Arial" w:hAnsi="Arial" w:cs="Arial"/>
          <w:i/>
          <w:iCs/>
          <w:sz w:val="23"/>
          <w:szCs w:val="23"/>
        </w:rPr>
      </w:pPr>
    </w:p>
    <w:p w14:paraId="0C465F39" w14:textId="13E99DF7" w:rsidR="006B392A" w:rsidRPr="006B392A" w:rsidRDefault="006B392A" w:rsidP="00315DF9">
      <w:pPr>
        <w:autoSpaceDE w:val="0"/>
        <w:autoSpaceDN w:val="0"/>
        <w:adjustRightInd w:val="0"/>
        <w:spacing w:after="0" w:line="240" w:lineRule="auto"/>
        <w:jc w:val="both"/>
        <w:rPr>
          <w:rFonts w:ascii="Arial" w:hAnsi="Arial" w:cs="Arial"/>
          <w:iCs/>
          <w:sz w:val="23"/>
          <w:szCs w:val="23"/>
        </w:rPr>
      </w:pPr>
      <w:r w:rsidRPr="006B392A">
        <w:rPr>
          <w:rFonts w:ascii="Arial" w:hAnsi="Arial" w:cs="Arial"/>
          <w:iCs/>
          <w:sz w:val="23"/>
          <w:szCs w:val="23"/>
        </w:rPr>
        <w:t>Non sono ammesse le spese relative a titoli di spesa il cui importo sia inferiore ad € 500,00 al netto di IVA.</w:t>
      </w:r>
    </w:p>
    <w:p w14:paraId="3B3EB9B2" w14:textId="77777777" w:rsidR="003634BA" w:rsidRDefault="003634BA" w:rsidP="003634BA">
      <w:pPr>
        <w:tabs>
          <w:tab w:val="left" w:pos="-1620"/>
        </w:tabs>
        <w:spacing w:after="0" w:line="240" w:lineRule="auto"/>
        <w:ind w:right="-1"/>
        <w:jc w:val="both"/>
        <w:rPr>
          <w:rFonts w:ascii="Arial" w:hAnsi="Arial" w:cs="Arial"/>
          <w:bCs/>
          <w:sz w:val="24"/>
          <w:szCs w:val="24"/>
        </w:rPr>
      </w:pPr>
    </w:p>
    <w:p w14:paraId="093BC351" w14:textId="29706355" w:rsidR="00315DF9" w:rsidRPr="00AF11E8" w:rsidRDefault="003634BA" w:rsidP="00AF11E8">
      <w:pPr>
        <w:tabs>
          <w:tab w:val="left" w:pos="-1620"/>
        </w:tabs>
        <w:spacing w:after="0" w:line="240" w:lineRule="auto"/>
        <w:ind w:right="-1"/>
        <w:jc w:val="both"/>
        <w:rPr>
          <w:rFonts w:ascii="Arial" w:hAnsi="Arial" w:cs="Arial"/>
          <w:bCs/>
          <w:sz w:val="23"/>
          <w:szCs w:val="23"/>
        </w:rPr>
      </w:pPr>
      <w:r w:rsidRPr="003634BA">
        <w:rPr>
          <w:rFonts w:ascii="Arial" w:hAnsi="Arial" w:cs="Arial"/>
          <w:bCs/>
          <w:sz w:val="23"/>
          <w:szCs w:val="23"/>
        </w:rPr>
        <w:t xml:space="preserve">L’impresa beneficiaria dovrà curare la conservazione della documentazione amministrativa e contabile relativa al progetto separata dagli altri atti amministrativi dell’impresa e renderla accessibile senza limitazioni al controllo e ispezioni ai funzionari incaricati dalle autorità regionali, nazionali o comunitarie. </w:t>
      </w:r>
    </w:p>
    <w:p w14:paraId="54C0B9BD" w14:textId="77777777" w:rsidR="00315DF9" w:rsidRDefault="00315DF9" w:rsidP="00315DF9">
      <w:pPr>
        <w:autoSpaceDE w:val="0"/>
        <w:autoSpaceDN w:val="0"/>
        <w:adjustRightInd w:val="0"/>
        <w:spacing w:after="0" w:line="240" w:lineRule="auto"/>
        <w:rPr>
          <w:rFonts w:ascii="Arial" w:hAnsi="Arial" w:cs="Arial"/>
          <w:b/>
          <w:bCs/>
          <w:i/>
          <w:iCs/>
          <w:sz w:val="27"/>
          <w:szCs w:val="27"/>
        </w:rPr>
      </w:pPr>
    </w:p>
    <w:p w14:paraId="282BD1CF" w14:textId="01749FAA" w:rsidR="00AF11E8" w:rsidRPr="00AF11E8" w:rsidRDefault="00AF11E8" w:rsidP="001E25F3">
      <w:pPr>
        <w:autoSpaceDE w:val="0"/>
        <w:autoSpaceDN w:val="0"/>
        <w:adjustRightInd w:val="0"/>
        <w:spacing w:after="120" w:line="240" w:lineRule="auto"/>
        <w:jc w:val="both"/>
        <w:rPr>
          <w:rFonts w:ascii="Arial" w:hAnsi="Arial" w:cs="Arial"/>
          <w:bCs/>
          <w:sz w:val="23"/>
          <w:szCs w:val="23"/>
        </w:rPr>
      </w:pPr>
      <w:r w:rsidRPr="00AF11E8">
        <w:rPr>
          <w:rFonts w:ascii="Arial" w:hAnsi="Arial" w:cs="Arial"/>
          <w:bCs/>
          <w:sz w:val="23"/>
          <w:szCs w:val="23"/>
        </w:rPr>
        <w:t xml:space="preserve">Ai fini dell’ammissibilità dei titoli di </w:t>
      </w:r>
      <w:r w:rsidR="00E960CF">
        <w:rPr>
          <w:rFonts w:ascii="Arial" w:hAnsi="Arial" w:cs="Arial"/>
          <w:bCs/>
          <w:sz w:val="23"/>
          <w:szCs w:val="23"/>
        </w:rPr>
        <w:t xml:space="preserve">spesa oggetto di rendicontazione, </w:t>
      </w:r>
      <w:r w:rsidR="00E960CF" w:rsidRPr="00AF11E8">
        <w:rPr>
          <w:rFonts w:ascii="Arial" w:hAnsi="Arial" w:cs="Arial"/>
          <w:iCs/>
          <w:sz w:val="23"/>
          <w:szCs w:val="23"/>
        </w:rPr>
        <w:t>con esclusione della documentazione contabile relativa al costo del personale</w:t>
      </w:r>
      <w:r w:rsidRPr="00AF11E8">
        <w:rPr>
          <w:rFonts w:ascii="Arial" w:hAnsi="Arial" w:cs="Arial"/>
          <w:bCs/>
          <w:sz w:val="23"/>
          <w:szCs w:val="23"/>
        </w:rPr>
        <w:t>:</w:t>
      </w:r>
    </w:p>
    <w:p w14:paraId="28027200" w14:textId="40E39651" w:rsidR="00AF11E8" w:rsidRDefault="001E25F3" w:rsidP="00AF11E8">
      <w:pPr>
        <w:pStyle w:val="Paragrafoelenco"/>
        <w:numPr>
          <w:ilvl w:val="0"/>
          <w:numId w:val="2"/>
        </w:numPr>
        <w:autoSpaceDE w:val="0"/>
        <w:autoSpaceDN w:val="0"/>
        <w:adjustRightInd w:val="0"/>
        <w:spacing w:after="0" w:line="240" w:lineRule="auto"/>
        <w:jc w:val="both"/>
        <w:rPr>
          <w:rFonts w:ascii="Arial" w:hAnsi="Arial" w:cs="Arial"/>
          <w:iCs/>
          <w:sz w:val="23"/>
          <w:szCs w:val="23"/>
        </w:rPr>
      </w:pPr>
      <w:r>
        <w:rPr>
          <w:rFonts w:ascii="Arial" w:hAnsi="Arial" w:cs="Arial"/>
          <w:iCs/>
          <w:sz w:val="23"/>
          <w:szCs w:val="23"/>
        </w:rPr>
        <w:t>g</w:t>
      </w:r>
      <w:r w:rsidR="00AF11E8" w:rsidRPr="00AF11E8">
        <w:rPr>
          <w:rFonts w:ascii="Arial" w:hAnsi="Arial" w:cs="Arial"/>
          <w:iCs/>
          <w:sz w:val="23"/>
          <w:szCs w:val="23"/>
        </w:rPr>
        <w:t xml:space="preserve">li stessi, devono riportare </w:t>
      </w:r>
      <w:r>
        <w:rPr>
          <w:rFonts w:ascii="Arial" w:hAnsi="Arial" w:cs="Arial"/>
          <w:iCs/>
          <w:sz w:val="23"/>
          <w:szCs w:val="23"/>
        </w:rPr>
        <w:t xml:space="preserve">il </w:t>
      </w:r>
      <w:r w:rsidRPr="001E25F3">
        <w:rPr>
          <w:rFonts w:ascii="Arial" w:hAnsi="Arial" w:cs="Arial"/>
          <w:iCs/>
          <w:sz w:val="23"/>
          <w:szCs w:val="23"/>
        </w:rPr>
        <w:t>riferimento all’Avviso e/o dell’indicazione del CUP del progetto agevolato</w:t>
      </w:r>
      <w:r w:rsidR="00AF11E8" w:rsidRPr="0073550F">
        <w:rPr>
          <w:rFonts w:ascii="Arial" w:hAnsi="Arial" w:cs="Arial"/>
          <w:b/>
          <w:iCs/>
          <w:sz w:val="23"/>
          <w:szCs w:val="23"/>
        </w:rPr>
        <w:t>.</w:t>
      </w:r>
      <w:r w:rsidR="00AF11E8" w:rsidRPr="0073550F">
        <w:rPr>
          <w:rFonts w:ascii="Arial" w:hAnsi="Arial" w:cs="Arial"/>
          <w:iCs/>
          <w:sz w:val="23"/>
          <w:szCs w:val="23"/>
        </w:rPr>
        <w:t xml:space="preserve"> Per le spese sostenute prima della concessione delle agevolazioni, l’indica</w:t>
      </w:r>
      <w:r w:rsidR="00E960CF" w:rsidRPr="0073550F">
        <w:rPr>
          <w:rFonts w:ascii="Arial" w:hAnsi="Arial" w:cs="Arial"/>
          <w:iCs/>
          <w:sz w:val="23"/>
          <w:szCs w:val="23"/>
        </w:rPr>
        <w:t>zione sopra descritta è</w:t>
      </w:r>
      <w:r w:rsidR="00AF11E8" w:rsidRPr="0073550F">
        <w:rPr>
          <w:rFonts w:ascii="Arial" w:hAnsi="Arial" w:cs="Arial"/>
          <w:iCs/>
          <w:sz w:val="23"/>
          <w:szCs w:val="23"/>
        </w:rPr>
        <w:t xml:space="preserve"> sostituita dal </w:t>
      </w:r>
      <w:r w:rsidR="00AF11E8" w:rsidRPr="0073550F">
        <w:rPr>
          <w:rFonts w:ascii="Arial" w:hAnsi="Arial" w:cs="Arial"/>
          <w:bCs/>
          <w:iCs/>
          <w:sz w:val="23"/>
          <w:szCs w:val="23"/>
        </w:rPr>
        <w:t xml:space="preserve">numero </w:t>
      </w:r>
      <w:r w:rsidR="00802261" w:rsidRPr="0073550F">
        <w:rPr>
          <w:rFonts w:ascii="Arial" w:hAnsi="Arial" w:cs="Arial"/>
          <w:iCs/>
          <w:sz w:val="23"/>
          <w:szCs w:val="23"/>
        </w:rPr>
        <w:t>del ticket di prenotazione associato alla domanda convalidata</w:t>
      </w:r>
      <w:r w:rsidR="009D7946" w:rsidRPr="0073550F">
        <w:rPr>
          <w:rFonts w:ascii="Arial" w:hAnsi="Arial" w:cs="Arial"/>
          <w:iCs/>
          <w:sz w:val="23"/>
          <w:szCs w:val="23"/>
        </w:rPr>
        <w:t>.</w:t>
      </w:r>
    </w:p>
    <w:p w14:paraId="632C8FFF" w14:textId="73507114" w:rsidR="00AF11E8" w:rsidRDefault="00AF11E8" w:rsidP="00AF11E8">
      <w:pPr>
        <w:pStyle w:val="Paragrafoelenco"/>
        <w:numPr>
          <w:ilvl w:val="0"/>
          <w:numId w:val="2"/>
        </w:numPr>
        <w:autoSpaceDE w:val="0"/>
        <w:autoSpaceDN w:val="0"/>
        <w:adjustRightInd w:val="0"/>
        <w:spacing w:after="0" w:line="240" w:lineRule="auto"/>
        <w:jc w:val="both"/>
        <w:rPr>
          <w:rFonts w:ascii="Arial" w:hAnsi="Arial" w:cs="Arial"/>
          <w:iCs/>
          <w:sz w:val="23"/>
          <w:szCs w:val="23"/>
        </w:rPr>
      </w:pPr>
      <w:r w:rsidRPr="00AF11E8">
        <w:rPr>
          <w:rFonts w:ascii="Arial" w:hAnsi="Arial" w:cs="Arial"/>
          <w:iCs/>
          <w:sz w:val="23"/>
          <w:szCs w:val="23"/>
        </w:rPr>
        <w:t>Nei casi di oggettiva impossibilità ad acquisire i titoli di spesa comprensivi di tale dicitura, il soggetto beneficiario può indicare i dati riportati al punto precedente</w:t>
      </w:r>
      <w:r w:rsidR="00BE2BF6">
        <w:rPr>
          <w:rFonts w:ascii="Arial" w:hAnsi="Arial" w:cs="Arial"/>
          <w:iCs/>
          <w:sz w:val="23"/>
          <w:szCs w:val="23"/>
        </w:rPr>
        <w:t xml:space="preserve"> </w:t>
      </w:r>
      <w:r w:rsidRPr="00AF11E8">
        <w:rPr>
          <w:rFonts w:ascii="Arial" w:hAnsi="Arial" w:cs="Arial"/>
          <w:iCs/>
          <w:sz w:val="23"/>
          <w:szCs w:val="23"/>
        </w:rPr>
        <w:t>direttamente nelle causali dei pagamenti. In ogni caso, le causali dei pagamenti devono contenere i riferimenti al titolo di spesa a cui si riferiscono (data di emissione fattura, numero di</w:t>
      </w:r>
      <w:r>
        <w:rPr>
          <w:rFonts w:ascii="Arial" w:hAnsi="Arial" w:cs="Arial"/>
          <w:iCs/>
          <w:sz w:val="23"/>
          <w:szCs w:val="23"/>
        </w:rPr>
        <w:t xml:space="preserve"> fattura e nome del fornitore);</w:t>
      </w:r>
    </w:p>
    <w:p w14:paraId="08644F4A" w14:textId="0CBD37AC" w:rsidR="00AF11E8" w:rsidRPr="00AF11E8" w:rsidRDefault="00E960CF" w:rsidP="00AF11E8">
      <w:pPr>
        <w:pStyle w:val="Paragrafoelenco"/>
        <w:numPr>
          <w:ilvl w:val="0"/>
          <w:numId w:val="2"/>
        </w:numPr>
        <w:autoSpaceDE w:val="0"/>
        <w:autoSpaceDN w:val="0"/>
        <w:adjustRightInd w:val="0"/>
        <w:spacing w:after="0" w:line="240" w:lineRule="auto"/>
        <w:jc w:val="both"/>
        <w:rPr>
          <w:rFonts w:ascii="Arial" w:hAnsi="Arial" w:cs="Arial"/>
          <w:iCs/>
          <w:sz w:val="23"/>
          <w:szCs w:val="23"/>
        </w:rPr>
      </w:pPr>
      <w:r w:rsidRPr="00AF11E8">
        <w:rPr>
          <w:rFonts w:ascii="Arial" w:hAnsi="Arial" w:cs="Arial"/>
          <w:iCs/>
          <w:sz w:val="23"/>
          <w:szCs w:val="23"/>
        </w:rPr>
        <w:t>In</w:t>
      </w:r>
      <w:r w:rsidR="00AF11E8" w:rsidRPr="00AF11E8">
        <w:rPr>
          <w:rFonts w:ascii="Arial" w:hAnsi="Arial" w:cs="Arial"/>
          <w:iCs/>
          <w:sz w:val="23"/>
          <w:szCs w:val="23"/>
        </w:rPr>
        <w:t xml:space="preserve"> tutti i casi, per beni solo parzialmente imputati al progetto agevolato, la dicitura, da riportare nel singolo titolo e nella causale di pagamento, deve contenere l’indicazione dell’importo parziale rendicontato a fini agevolativi</w:t>
      </w:r>
      <w:r w:rsidR="00234451">
        <w:rPr>
          <w:rFonts w:ascii="Arial" w:hAnsi="Arial" w:cs="Arial"/>
          <w:iCs/>
          <w:sz w:val="23"/>
          <w:szCs w:val="23"/>
        </w:rPr>
        <w:t>.</w:t>
      </w:r>
    </w:p>
    <w:p w14:paraId="6236B45A" w14:textId="77777777" w:rsidR="00AF11E8" w:rsidRPr="00AF11E8" w:rsidRDefault="00AF11E8" w:rsidP="00AF11E8">
      <w:pPr>
        <w:pStyle w:val="Paragrafoelenco"/>
        <w:autoSpaceDE w:val="0"/>
        <w:autoSpaceDN w:val="0"/>
        <w:adjustRightInd w:val="0"/>
        <w:spacing w:after="0" w:line="240" w:lineRule="auto"/>
        <w:ind w:left="780"/>
        <w:jc w:val="both"/>
        <w:rPr>
          <w:rFonts w:ascii="Arial" w:hAnsi="Arial" w:cs="Arial"/>
          <w:iCs/>
          <w:sz w:val="23"/>
          <w:szCs w:val="23"/>
        </w:rPr>
      </w:pPr>
    </w:p>
    <w:p w14:paraId="2F419861" w14:textId="77777777" w:rsidR="00475F8C" w:rsidRDefault="00475F8C" w:rsidP="00475F8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Condizione necessaria per l'imputabilità dei costi al progetto di ricerca industriale e sviluppo sperimentale è l’esistenza di una stabile struttura aziendale nel territorio di riferimento utilizzata per l'esecuzione dell'attività di ricerca o sviluppo cui i costi stessi si riferiscono.</w:t>
      </w:r>
    </w:p>
    <w:p w14:paraId="027F9D1B" w14:textId="77777777" w:rsidR="00475F8C" w:rsidRDefault="00475F8C" w:rsidP="00475F8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 costi sono riferiti alla unità locale nella quale vengono svolte le attività di ricerca e/o sviluppo del soggetto richiedente.</w:t>
      </w:r>
    </w:p>
    <w:p w14:paraId="384B9927" w14:textId="77777777" w:rsidR="00315DF9" w:rsidRDefault="00315DF9" w:rsidP="00315DF9">
      <w:pPr>
        <w:autoSpaceDE w:val="0"/>
        <w:autoSpaceDN w:val="0"/>
        <w:adjustRightInd w:val="0"/>
        <w:spacing w:after="0" w:line="240" w:lineRule="auto"/>
        <w:rPr>
          <w:rFonts w:ascii="Arial" w:hAnsi="Arial" w:cs="Arial"/>
          <w:b/>
          <w:bCs/>
          <w:i/>
          <w:iCs/>
          <w:sz w:val="27"/>
          <w:szCs w:val="27"/>
        </w:rPr>
      </w:pPr>
    </w:p>
    <w:p w14:paraId="473F3121" w14:textId="77777777" w:rsidR="00315DF9" w:rsidRDefault="00315DF9" w:rsidP="00315DF9">
      <w:pPr>
        <w:autoSpaceDE w:val="0"/>
        <w:autoSpaceDN w:val="0"/>
        <w:adjustRightInd w:val="0"/>
        <w:spacing w:after="0" w:line="240" w:lineRule="auto"/>
        <w:rPr>
          <w:rFonts w:ascii="Arial" w:hAnsi="Arial" w:cs="Arial"/>
          <w:b/>
          <w:bCs/>
          <w:i/>
          <w:iCs/>
          <w:sz w:val="27"/>
          <w:szCs w:val="27"/>
        </w:rPr>
      </w:pPr>
      <w:r>
        <w:rPr>
          <w:rFonts w:ascii="Arial" w:hAnsi="Arial" w:cs="Arial"/>
          <w:b/>
          <w:bCs/>
          <w:i/>
          <w:iCs/>
          <w:sz w:val="27"/>
          <w:szCs w:val="27"/>
        </w:rPr>
        <w:t>Personale dipendente di ricerca</w:t>
      </w:r>
    </w:p>
    <w:p w14:paraId="2BECC7EA" w14:textId="77777777" w:rsidR="00C73B46" w:rsidRDefault="00C73B46" w:rsidP="00315DF9">
      <w:pPr>
        <w:autoSpaceDE w:val="0"/>
        <w:autoSpaceDN w:val="0"/>
        <w:adjustRightInd w:val="0"/>
        <w:spacing w:after="0" w:line="240" w:lineRule="auto"/>
        <w:rPr>
          <w:rFonts w:ascii="Arial" w:hAnsi="Arial" w:cs="Arial"/>
          <w:b/>
          <w:bCs/>
          <w:i/>
          <w:iCs/>
          <w:sz w:val="27"/>
          <w:szCs w:val="27"/>
        </w:rPr>
      </w:pPr>
    </w:p>
    <w:p w14:paraId="42596D96" w14:textId="30FD54AA" w:rsidR="000C5A54" w:rsidRDefault="00691A76" w:rsidP="000C5A54">
      <w:pPr>
        <w:autoSpaceDE w:val="0"/>
        <w:autoSpaceDN w:val="0"/>
        <w:adjustRightInd w:val="0"/>
        <w:spacing w:after="0" w:line="240" w:lineRule="auto"/>
        <w:jc w:val="both"/>
        <w:rPr>
          <w:rFonts w:ascii="Arial" w:hAnsi="Arial" w:cs="Arial"/>
          <w:sz w:val="23"/>
          <w:szCs w:val="23"/>
        </w:rPr>
      </w:pPr>
      <w:r>
        <w:rPr>
          <w:rFonts w:ascii="Arial" w:hAnsi="Arial" w:cs="Arial"/>
          <w:sz w:val="23"/>
          <w:szCs w:val="23"/>
        </w:rPr>
        <w:t>Questa voce comprende</w:t>
      </w:r>
      <w:r w:rsidR="000C7EBE">
        <w:rPr>
          <w:rFonts w:ascii="Arial" w:hAnsi="Arial" w:cs="Arial"/>
          <w:sz w:val="23"/>
          <w:szCs w:val="23"/>
        </w:rPr>
        <w:t xml:space="preserve"> esclusivamente </w:t>
      </w:r>
      <w:r w:rsidR="000C7EBE">
        <w:rPr>
          <w:rFonts w:ascii="Symbol" w:hAnsi="Symbol" w:cs="Symbol"/>
          <w:sz w:val="23"/>
          <w:szCs w:val="23"/>
        </w:rPr>
        <w:t></w:t>
      </w:r>
      <w:r w:rsidR="000C7EBE">
        <w:rPr>
          <w:rFonts w:ascii="Arial" w:hAnsi="Arial" w:cs="Arial"/>
          <w:sz w:val="23"/>
          <w:szCs w:val="23"/>
        </w:rPr>
        <w:t>il</w:t>
      </w:r>
      <w:r w:rsidR="00315DF9">
        <w:rPr>
          <w:rFonts w:ascii="Arial" w:hAnsi="Arial" w:cs="Arial"/>
          <w:sz w:val="23"/>
          <w:szCs w:val="23"/>
        </w:rPr>
        <w:t xml:space="preserve"> personale dipendente, sia a temp</w:t>
      </w:r>
      <w:r>
        <w:rPr>
          <w:rFonts w:ascii="Arial" w:hAnsi="Arial" w:cs="Arial"/>
          <w:sz w:val="23"/>
          <w:szCs w:val="23"/>
        </w:rPr>
        <w:t xml:space="preserve">o indeterminato che determinato </w:t>
      </w:r>
      <w:r w:rsidR="00315DF9">
        <w:rPr>
          <w:rFonts w:ascii="Arial" w:hAnsi="Arial" w:cs="Arial"/>
          <w:sz w:val="23"/>
          <w:szCs w:val="23"/>
        </w:rPr>
        <w:t xml:space="preserve">impegnati nelle attività di ricerca </w:t>
      </w:r>
      <w:r>
        <w:rPr>
          <w:rFonts w:ascii="Arial" w:hAnsi="Arial" w:cs="Arial"/>
          <w:sz w:val="23"/>
          <w:szCs w:val="23"/>
        </w:rPr>
        <w:t xml:space="preserve">industriale </w:t>
      </w:r>
      <w:r w:rsidR="00315DF9">
        <w:rPr>
          <w:rFonts w:ascii="Arial" w:hAnsi="Arial" w:cs="Arial"/>
          <w:sz w:val="23"/>
          <w:szCs w:val="23"/>
        </w:rPr>
        <w:t>e/o sviluppo sperimentale e in quelle di gestione tecnico –</w:t>
      </w:r>
      <w:r w:rsidR="000C5A54">
        <w:rPr>
          <w:rFonts w:ascii="Arial" w:hAnsi="Arial" w:cs="Arial"/>
          <w:sz w:val="23"/>
          <w:szCs w:val="23"/>
        </w:rPr>
        <w:t xml:space="preserve"> </w:t>
      </w:r>
      <w:r w:rsidR="00315DF9">
        <w:rPr>
          <w:rFonts w:ascii="Arial" w:hAnsi="Arial" w:cs="Arial"/>
          <w:sz w:val="23"/>
          <w:szCs w:val="23"/>
        </w:rPr>
        <w:t>scientifica</w:t>
      </w:r>
      <w:r w:rsidR="000C5A54">
        <w:rPr>
          <w:rFonts w:ascii="Arial" w:hAnsi="Arial" w:cs="Arial"/>
          <w:sz w:val="23"/>
          <w:szCs w:val="23"/>
        </w:rPr>
        <w:t xml:space="preserve">, </w:t>
      </w:r>
      <w:r w:rsidR="000C5A54" w:rsidRPr="00691A76">
        <w:rPr>
          <w:rFonts w:ascii="Arial" w:hAnsi="Arial" w:cs="Arial"/>
          <w:sz w:val="23"/>
          <w:szCs w:val="23"/>
        </w:rPr>
        <w:t>così come risultante dalle lettere di incarico/ordine di servizio.</w:t>
      </w:r>
    </w:p>
    <w:p w14:paraId="7BCDD92C" w14:textId="11BEBE4D" w:rsidR="00315DF9" w:rsidRDefault="00315DF9" w:rsidP="000C5A54">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In questa voce rientra anche il perso</w:t>
      </w:r>
      <w:r w:rsidR="000C5A54">
        <w:rPr>
          <w:rFonts w:ascii="Arial" w:hAnsi="Arial" w:cs="Arial"/>
          <w:sz w:val="23"/>
          <w:szCs w:val="23"/>
        </w:rPr>
        <w:t xml:space="preserve">nale, sempre di natura tecnica, </w:t>
      </w:r>
      <w:r>
        <w:rPr>
          <w:rFonts w:ascii="Arial" w:hAnsi="Arial" w:cs="Arial"/>
          <w:sz w:val="23"/>
          <w:szCs w:val="23"/>
        </w:rPr>
        <w:t>app</w:t>
      </w:r>
      <w:r w:rsidR="000C5A54">
        <w:rPr>
          <w:rFonts w:ascii="Arial" w:hAnsi="Arial" w:cs="Arial"/>
          <w:sz w:val="23"/>
          <w:szCs w:val="23"/>
        </w:rPr>
        <w:t xml:space="preserve">artenente a reparti diversi dal </w:t>
      </w:r>
      <w:r>
        <w:rPr>
          <w:rFonts w:ascii="Arial" w:hAnsi="Arial" w:cs="Arial"/>
          <w:sz w:val="23"/>
          <w:szCs w:val="23"/>
        </w:rPr>
        <w:t xml:space="preserve">gruppo di ricerca (officina </w:t>
      </w:r>
      <w:r w:rsidR="000C5A54">
        <w:rPr>
          <w:rFonts w:ascii="Arial" w:hAnsi="Arial" w:cs="Arial"/>
          <w:sz w:val="23"/>
          <w:szCs w:val="23"/>
        </w:rPr>
        <w:t xml:space="preserve">prototipi, lavorazioni interne, </w:t>
      </w:r>
      <w:r>
        <w:rPr>
          <w:rFonts w:ascii="Arial" w:hAnsi="Arial" w:cs="Arial"/>
          <w:sz w:val="23"/>
          <w:szCs w:val="23"/>
        </w:rPr>
        <w:t>ecc.).</w:t>
      </w:r>
    </w:p>
    <w:p w14:paraId="23116A57" w14:textId="5D21CE37" w:rsidR="00315DF9" w:rsidRDefault="00315DF9" w:rsidP="000C5A54">
      <w:pPr>
        <w:autoSpaceDE w:val="0"/>
        <w:autoSpaceDN w:val="0"/>
        <w:adjustRightInd w:val="0"/>
        <w:spacing w:after="0" w:line="240" w:lineRule="auto"/>
        <w:jc w:val="both"/>
        <w:rPr>
          <w:rFonts w:ascii="Arial" w:hAnsi="Arial" w:cs="Arial"/>
          <w:sz w:val="23"/>
          <w:szCs w:val="23"/>
        </w:rPr>
      </w:pPr>
      <w:r>
        <w:rPr>
          <w:rFonts w:ascii="Arial" w:hAnsi="Arial" w:cs="Arial"/>
          <w:sz w:val="23"/>
          <w:szCs w:val="23"/>
        </w:rPr>
        <w:lastRenderedPageBreak/>
        <w:t xml:space="preserve">La voce personale dipendente comprende il personale </w:t>
      </w:r>
      <w:r w:rsidRPr="000C5A54">
        <w:rPr>
          <w:rFonts w:ascii="Arial" w:hAnsi="Arial" w:cs="Arial"/>
          <w:b/>
          <w:sz w:val="23"/>
          <w:szCs w:val="23"/>
        </w:rPr>
        <w:t>regolarmente censito e attribuito all’</w:t>
      </w:r>
      <w:r w:rsidR="000C5A54" w:rsidRPr="000C5A54">
        <w:rPr>
          <w:rFonts w:ascii="Arial" w:hAnsi="Arial" w:cs="Arial"/>
          <w:b/>
          <w:sz w:val="23"/>
          <w:szCs w:val="23"/>
        </w:rPr>
        <w:t xml:space="preserve">unità locale di localizzazione </w:t>
      </w:r>
      <w:r w:rsidRPr="000C5A54">
        <w:rPr>
          <w:rFonts w:ascii="Arial" w:hAnsi="Arial" w:cs="Arial"/>
          <w:b/>
          <w:sz w:val="23"/>
          <w:szCs w:val="23"/>
        </w:rPr>
        <w:t>dell’intervento</w:t>
      </w:r>
      <w:r w:rsidR="0000712E">
        <w:rPr>
          <w:rStyle w:val="Rimandonotaapidipagina"/>
          <w:rFonts w:ascii="Arial" w:hAnsi="Arial" w:cs="Arial"/>
          <w:b/>
          <w:sz w:val="23"/>
          <w:szCs w:val="23"/>
        </w:rPr>
        <w:footnoteReference w:id="1"/>
      </w:r>
      <w:r w:rsidR="004D236A">
        <w:rPr>
          <w:rFonts w:ascii="Arial" w:hAnsi="Arial" w:cs="Arial"/>
          <w:sz w:val="16"/>
          <w:szCs w:val="16"/>
        </w:rPr>
        <w:t xml:space="preserve"> </w:t>
      </w:r>
      <w:r>
        <w:rPr>
          <w:rFonts w:ascii="Arial" w:hAnsi="Arial" w:cs="Arial"/>
          <w:sz w:val="23"/>
          <w:szCs w:val="23"/>
        </w:rPr>
        <w:t>d</w:t>
      </w:r>
      <w:r w:rsidR="004D236A">
        <w:rPr>
          <w:rFonts w:ascii="Arial" w:hAnsi="Arial" w:cs="Arial"/>
          <w:sz w:val="23"/>
          <w:szCs w:val="23"/>
        </w:rPr>
        <w:t>ei soggetti che rendicontano</w:t>
      </w:r>
      <w:r>
        <w:rPr>
          <w:rFonts w:ascii="Arial" w:hAnsi="Arial" w:cs="Arial"/>
          <w:sz w:val="23"/>
          <w:szCs w:val="23"/>
        </w:rPr>
        <w:t>.</w:t>
      </w:r>
    </w:p>
    <w:p w14:paraId="0058E441" w14:textId="77777777" w:rsidR="004D236A" w:rsidRDefault="004D236A" w:rsidP="000C5A54">
      <w:pPr>
        <w:autoSpaceDE w:val="0"/>
        <w:autoSpaceDN w:val="0"/>
        <w:adjustRightInd w:val="0"/>
        <w:spacing w:after="0" w:line="240" w:lineRule="auto"/>
        <w:jc w:val="both"/>
        <w:rPr>
          <w:rFonts w:ascii="Arial" w:hAnsi="Arial" w:cs="Arial"/>
          <w:b/>
          <w:bCs/>
          <w:sz w:val="23"/>
          <w:szCs w:val="23"/>
          <w:highlight w:val="yellow"/>
        </w:rPr>
      </w:pPr>
    </w:p>
    <w:p w14:paraId="2EF6F23D" w14:textId="77777777" w:rsidR="00311F54" w:rsidRDefault="00311F54" w:rsidP="00315DF9">
      <w:pPr>
        <w:autoSpaceDE w:val="0"/>
        <w:autoSpaceDN w:val="0"/>
        <w:adjustRightInd w:val="0"/>
        <w:spacing w:after="0" w:line="240" w:lineRule="auto"/>
        <w:rPr>
          <w:rFonts w:ascii="Arial" w:hAnsi="Arial" w:cs="Arial"/>
          <w:sz w:val="23"/>
          <w:szCs w:val="23"/>
        </w:rPr>
      </w:pPr>
    </w:p>
    <w:p w14:paraId="52B7E66D" w14:textId="4D30C5EB" w:rsidR="00311F54" w:rsidRDefault="00311F54" w:rsidP="00311F54">
      <w:pPr>
        <w:autoSpaceDE w:val="0"/>
        <w:autoSpaceDN w:val="0"/>
        <w:adjustRightInd w:val="0"/>
        <w:spacing w:after="0" w:line="240" w:lineRule="auto"/>
        <w:jc w:val="both"/>
        <w:rPr>
          <w:rFonts w:ascii="Arial" w:hAnsi="Arial" w:cs="Arial"/>
          <w:sz w:val="23"/>
          <w:szCs w:val="23"/>
        </w:rPr>
      </w:pPr>
      <w:r w:rsidRPr="004D236A">
        <w:rPr>
          <w:rFonts w:ascii="Arial" w:hAnsi="Arial" w:cs="Arial"/>
          <w:sz w:val="23"/>
          <w:szCs w:val="23"/>
        </w:rPr>
        <w:t xml:space="preserve">Il costo del personale sarà imputato al progetto in unità di costi standard attraverso una valorizzazione oraria standard stabilita con </w:t>
      </w:r>
      <w:r w:rsidR="004D236A" w:rsidRPr="004D236A">
        <w:rPr>
          <w:rFonts w:ascii="Arial" w:hAnsi="Arial" w:cs="Arial"/>
          <w:sz w:val="23"/>
          <w:szCs w:val="23"/>
        </w:rPr>
        <w:t xml:space="preserve">Determinazione Direttoriale </w:t>
      </w:r>
      <w:r w:rsidR="00B84F3D" w:rsidRPr="00B84F3D">
        <w:rPr>
          <w:rFonts w:ascii="Arial" w:hAnsi="Arial" w:cs="Arial"/>
          <w:sz w:val="23"/>
          <w:szCs w:val="23"/>
        </w:rPr>
        <w:t xml:space="preserve">della Regione Umbria </w:t>
      </w:r>
      <w:r w:rsidRPr="004D236A">
        <w:rPr>
          <w:rFonts w:ascii="Arial" w:hAnsi="Arial" w:cs="Arial"/>
          <w:sz w:val="23"/>
          <w:szCs w:val="23"/>
        </w:rPr>
        <w:t>n. 7480/2018 che sarà moltiplicata per le ore totali imputate a</w:t>
      </w:r>
      <w:r w:rsidR="00C84452" w:rsidRPr="004D236A">
        <w:rPr>
          <w:rFonts w:ascii="Arial" w:hAnsi="Arial" w:cs="Arial"/>
          <w:sz w:val="23"/>
          <w:szCs w:val="23"/>
        </w:rPr>
        <w:t xml:space="preserve">l progetto in base ai </w:t>
      </w:r>
      <w:proofErr w:type="spellStart"/>
      <w:r w:rsidR="00C84452" w:rsidRPr="004D236A">
        <w:rPr>
          <w:rFonts w:ascii="Arial" w:hAnsi="Arial" w:cs="Arial"/>
          <w:sz w:val="23"/>
          <w:szCs w:val="23"/>
        </w:rPr>
        <w:t>timesheet</w:t>
      </w:r>
      <w:proofErr w:type="spellEnd"/>
      <w:r w:rsidR="0000712E">
        <w:rPr>
          <w:rFonts w:ascii="Arial" w:hAnsi="Arial" w:cs="Arial"/>
          <w:sz w:val="23"/>
          <w:szCs w:val="23"/>
        </w:rPr>
        <w:t>.</w:t>
      </w:r>
    </w:p>
    <w:p w14:paraId="1ABB052C" w14:textId="77777777" w:rsidR="00311F54" w:rsidRPr="00311F54" w:rsidRDefault="00311F54" w:rsidP="00311F54">
      <w:pPr>
        <w:autoSpaceDE w:val="0"/>
        <w:autoSpaceDN w:val="0"/>
        <w:adjustRightInd w:val="0"/>
        <w:spacing w:after="0" w:line="240" w:lineRule="auto"/>
        <w:jc w:val="both"/>
        <w:rPr>
          <w:rFonts w:ascii="Calibri" w:hAnsi="Calibri" w:cs="Calibri"/>
          <w:color w:val="000000"/>
          <w:sz w:val="23"/>
          <w:szCs w:val="23"/>
          <w:highlight w:val="yell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75"/>
        <w:gridCol w:w="4978"/>
      </w:tblGrid>
      <w:tr w:rsidR="00311F54" w:rsidRPr="004D236A" w14:paraId="3F9A3FF8" w14:textId="77777777" w:rsidTr="00311F54">
        <w:trPr>
          <w:trHeight w:val="134"/>
        </w:trPr>
        <w:tc>
          <w:tcPr>
            <w:tcW w:w="9953" w:type="dxa"/>
            <w:gridSpan w:val="2"/>
          </w:tcPr>
          <w:p w14:paraId="13C22F58" w14:textId="77777777" w:rsidR="00311F54" w:rsidRPr="004D236A" w:rsidRDefault="00311F54" w:rsidP="00311F54">
            <w:pPr>
              <w:autoSpaceDE w:val="0"/>
              <w:autoSpaceDN w:val="0"/>
              <w:adjustRightInd w:val="0"/>
              <w:spacing w:after="0" w:line="240" w:lineRule="auto"/>
              <w:jc w:val="both"/>
              <w:rPr>
                <w:rFonts w:ascii="Calibri" w:hAnsi="Calibri" w:cs="Calibri"/>
                <w:b/>
                <w:bCs/>
                <w:color w:val="000000"/>
                <w:sz w:val="23"/>
                <w:szCs w:val="23"/>
              </w:rPr>
            </w:pPr>
            <w:r w:rsidRPr="004D236A">
              <w:rPr>
                <w:rFonts w:ascii="Calibri" w:hAnsi="Calibri" w:cs="Calibri"/>
                <w:b/>
                <w:bCs/>
                <w:color w:val="000000"/>
                <w:sz w:val="23"/>
                <w:szCs w:val="23"/>
              </w:rPr>
              <w:t xml:space="preserve">TABELLA DEI COSTI ORARI STANDARD UNITARI PER LE SPESE DI PERSONALE DEI PROGETTI DI RICERCA INDUSTRIALE E SVILUPPO SPERIMENTALE FASCIA DI COSTO - LIVELLO </w:t>
            </w:r>
          </w:p>
          <w:p w14:paraId="1B9F0BF4" w14:textId="77777777" w:rsidR="00311F54" w:rsidRPr="004D236A" w:rsidRDefault="00311F54" w:rsidP="00311F54">
            <w:pPr>
              <w:autoSpaceDE w:val="0"/>
              <w:autoSpaceDN w:val="0"/>
              <w:adjustRightInd w:val="0"/>
              <w:spacing w:after="0" w:line="240" w:lineRule="auto"/>
              <w:jc w:val="both"/>
              <w:rPr>
                <w:rFonts w:ascii="Calibri" w:hAnsi="Calibri" w:cs="Calibri"/>
                <w:color w:val="000000"/>
                <w:sz w:val="23"/>
                <w:szCs w:val="23"/>
              </w:rPr>
            </w:pPr>
          </w:p>
        </w:tc>
      </w:tr>
      <w:tr w:rsidR="00311F54" w:rsidRPr="004D236A" w14:paraId="47D4D2AB" w14:textId="77777777" w:rsidTr="00311F54">
        <w:trPr>
          <w:trHeight w:val="134"/>
        </w:trPr>
        <w:tc>
          <w:tcPr>
            <w:tcW w:w="4975" w:type="dxa"/>
          </w:tcPr>
          <w:p w14:paraId="1B94ED01" w14:textId="77777777" w:rsidR="00311F54" w:rsidRPr="004D236A" w:rsidRDefault="00311F54" w:rsidP="00311F54">
            <w:pPr>
              <w:autoSpaceDE w:val="0"/>
              <w:autoSpaceDN w:val="0"/>
              <w:adjustRightInd w:val="0"/>
              <w:spacing w:after="0" w:line="240" w:lineRule="auto"/>
              <w:jc w:val="center"/>
              <w:rPr>
                <w:rFonts w:ascii="Calibri" w:hAnsi="Calibri" w:cs="Calibri"/>
                <w:color w:val="000000"/>
                <w:sz w:val="23"/>
                <w:szCs w:val="23"/>
              </w:rPr>
            </w:pPr>
            <w:r w:rsidRPr="004D236A">
              <w:rPr>
                <w:rFonts w:ascii="Calibri" w:hAnsi="Calibri" w:cs="Calibri"/>
                <w:b/>
                <w:bCs/>
                <w:color w:val="000000"/>
                <w:sz w:val="23"/>
                <w:szCs w:val="23"/>
              </w:rPr>
              <w:t>ALTO</w:t>
            </w:r>
          </w:p>
        </w:tc>
        <w:tc>
          <w:tcPr>
            <w:tcW w:w="4977" w:type="dxa"/>
          </w:tcPr>
          <w:p w14:paraId="3B550605" w14:textId="77777777" w:rsidR="00311F54" w:rsidRPr="004D236A" w:rsidRDefault="00311F54" w:rsidP="00311F54">
            <w:pPr>
              <w:autoSpaceDE w:val="0"/>
              <w:autoSpaceDN w:val="0"/>
              <w:adjustRightInd w:val="0"/>
              <w:spacing w:after="0" w:line="240" w:lineRule="auto"/>
              <w:rPr>
                <w:rFonts w:ascii="Calibri" w:hAnsi="Calibri" w:cs="Calibri"/>
                <w:color w:val="000000"/>
                <w:sz w:val="23"/>
                <w:szCs w:val="23"/>
              </w:rPr>
            </w:pPr>
            <w:r w:rsidRPr="004D236A">
              <w:rPr>
                <w:rFonts w:ascii="Calibri" w:hAnsi="Calibri" w:cs="Calibri"/>
                <w:color w:val="000000"/>
                <w:sz w:val="23"/>
                <w:szCs w:val="23"/>
              </w:rPr>
              <w:t xml:space="preserve">€ 75,00 (LIVELLI DIRIGENZIALI) </w:t>
            </w:r>
          </w:p>
        </w:tc>
      </w:tr>
      <w:tr w:rsidR="00311F54" w:rsidRPr="004D236A" w14:paraId="4D9A6FB0" w14:textId="77777777" w:rsidTr="00311F54">
        <w:trPr>
          <w:trHeight w:val="134"/>
        </w:trPr>
        <w:tc>
          <w:tcPr>
            <w:tcW w:w="4975" w:type="dxa"/>
          </w:tcPr>
          <w:p w14:paraId="4AA2D6B1" w14:textId="77777777" w:rsidR="00311F54" w:rsidRPr="004D236A" w:rsidRDefault="00311F54" w:rsidP="00311F54">
            <w:pPr>
              <w:autoSpaceDE w:val="0"/>
              <w:autoSpaceDN w:val="0"/>
              <w:adjustRightInd w:val="0"/>
              <w:spacing w:after="0" w:line="240" w:lineRule="auto"/>
              <w:jc w:val="center"/>
              <w:rPr>
                <w:rFonts w:ascii="Calibri" w:hAnsi="Calibri" w:cs="Calibri"/>
                <w:color w:val="000000"/>
                <w:sz w:val="23"/>
                <w:szCs w:val="23"/>
              </w:rPr>
            </w:pPr>
            <w:r w:rsidRPr="004D236A">
              <w:rPr>
                <w:rFonts w:ascii="Calibri" w:hAnsi="Calibri" w:cs="Calibri"/>
                <w:b/>
                <w:bCs/>
                <w:color w:val="000000"/>
                <w:sz w:val="23"/>
                <w:szCs w:val="23"/>
              </w:rPr>
              <w:t>MEDIO</w:t>
            </w:r>
          </w:p>
        </w:tc>
        <w:tc>
          <w:tcPr>
            <w:tcW w:w="4977" w:type="dxa"/>
          </w:tcPr>
          <w:p w14:paraId="641325B5" w14:textId="77777777" w:rsidR="00311F54" w:rsidRPr="004D236A" w:rsidRDefault="00311F54" w:rsidP="00311F54">
            <w:pPr>
              <w:autoSpaceDE w:val="0"/>
              <w:autoSpaceDN w:val="0"/>
              <w:adjustRightInd w:val="0"/>
              <w:spacing w:after="0" w:line="240" w:lineRule="auto"/>
              <w:rPr>
                <w:rFonts w:ascii="Calibri" w:hAnsi="Calibri" w:cs="Calibri"/>
                <w:color w:val="000000"/>
                <w:sz w:val="23"/>
                <w:szCs w:val="23"/>
              </w:rPr>
            </w:pPr>
            <w:r w:rsidRPr="004D236A">
              <w:rPr>
                <w:rFonts w:ascii="Calibri" w:hAnsi="Calibri" w:cs="Calibri"/>
                <w:color w:val="000000"/>
                <w:sz w:val="23"/>
                <w:szCs w:val="23"/>
              </w:rPr>
              <w:t xml:space="preserve">€ 43,00 (LIVELLI DI QUADRO) </w:t>
            </w:r>
          </w:p>
        </w:tc>
      </w:tr>
      <w:tr w:rsidR="00311F54" w:rsidRPr="00311F54" w14:paraId="59055E5B" w14:textId="77777777" w:rsidTr="00311F54">
        <w:trPr>
          <w:trHeight w:val="134"/>
        </w:trPr>
        <w:tc>
          <w:tcPr>
            <w:tcW w:w="4975" w:type="dxa"/>
          </w:tcPr>
          <w:p w14:paraId="38BB9219" w14:textId="77777777" w:rsidR="00311F54" w:rsidRPr="004D236A" w:rsidRDefault="00311F54" w:rsidP="00311F54">
            <w:pPr>
              <w:autoSpaceDE w:val="0"/>
              <w:autoSpaceDN w:val="0"/>
              <w:adjustRightInd w:val="0"/>
              <w:spacing w:after="0" w:line="240" w:lineRule="auto"/>
              <w:jc w:val="center"/>
              <w:rPr>
                <w:rFonts w:ascii="Calibri" w:hAnsi="Calibri" w:cs="Calibri"/>
                <w:color w:val="000000"/>
                <w:sz w:val="23"/>
                <w:szCs w:val="23"/>
              </w:rPr>
            </w:pPr>
            <w:r w:rsidRPr="004D236A">
              <w:rPr>
                <w:rFonts w:ascii="Calibri" w:hAnsi="Calibri" w:cs="Calibri"/>
                <w:b/>
                <w:bCs/>
                <w:color w:val="000000"/>
                <w:sz w:val="23"/>
                <w:szCs w:val="23"/>
              </w:rPr>
              <w:t>BASSO</w:t>
            </w:r>
          </w:p>
        </w:tc>
        <w:tc>
          <w:tcPr>
            <w:tcW w:w="4977" w:type="dxa"/>
          </w:tcPr>
          <w:p w14:paraId="0EE096C9" w14:textId="77777777" w:rsidR="00311F54" w:rsidRPr="00311F54" w:rsidRDefault="00311F54" w:rsidP="00311F54">
            <w:pPr>
              <w:autoSpaceDE w:val="0"/>
              <w:autoSpaceDN w:val="0"/>
              <w:adjustRightInd w:val="0"/>
              <w:spacing w:after="0" w:line="240" w:lineRule="auto"/>
              <w:rPr>
                <w:rFonts w:ascii="Calibri" w:hAnsi="Calibri" w:cs="Calibri"/>
                <w:color w:val="000000"/>
                <w:sz w:val="23"/>
                <w:szCs w:val="23"/>
              </w:rPr>
            </w:pPr>
            <w:r w:rsidRPr="004D236A">
              <w:rPr>
                <w:rFonts w:ascii="Calibri" w:hAnsi="Calibri" w:cs="Calibri"/>
                <w:color w:val="000000"/>
                <w:sz w:val="23"/>
                <w:szCs w:val="23"/>
              </w:rPr>
              <w:t>€ 27,00 (LIVELLI DI IMPIEGATO/OPERAIO)</w:t>
            </w:r>
            <w:r w:rsidRPr="00311F54">
              <w:rPr>
                <w:rFonts w:ascii="Calibri" w:hAnsi="Calibri" w:cs="Calibri"/>
                <w:color w:val="000000"/>
                <w:sz w:val="23"/>
                <w:szCs w:val="23"/>
              </w:rPr>
              <w:t xml:space="preserve"> </w:t>
            </w:r>
          </w:p>
        </w:tc>
      </w:tr>
    </w:tbl>
    <w:p w14:paraId="3E01B1E2" w14:textId="77777777" w:rsidR="00311F54" w:rsidRDefault="00311F54" w:rsidP="00311F54">
      <w:pPr>
        <w:autoSpaceDE w:val="0"/>
        <w:autoSpaceDN w:val="0"/>
        <w:adjustRightInd w:val="0"/>
        <w:spacing w:after="0" w:line="240" w:lineRule="auto"/>
        <w:jc w:val="both"/>
        <w:rPr>
          <w:rFonts w:ascii="Arial" w:hAnsi="Arial" w:cs="Arial"/>
          <w:sz w:val="23"/>
          <w:szCs w:val="23"/>
        </w:rPr>
      </w:pPr>
    </w:p>
    <w:p w14:paraId="07905CFC" w14:textId="77777777" w:rsidR="00DE13A7" w:rsidRDefault="00DE13A7" w:rsidP="007D0C9A">
      <w:pPr>
        <w:autoSpaceDE w:val="0"/>
        <w:autoSpaceDN w:val="0"/>
        <w:adjustRightInd w:val="0"/>
        <w:spacing w:after="0" w:line="240" w:lineRule="auto"/>
        <w:jc w:val="both"/>
        <w:rPr>
          <w:rFonts w:ascii="Arial" w:hAnsi="Arial" w:cs="Arial"/>
          <w:b/>
          <w:bCs/>
          <w:sz w:val="23"/>
          <w:szCs w:val="23"/>
        </w:rPr>
      </w:pPr>
    </w:p>
    <w:p w14:paraId="44A088BB" w14:textId="2A8B6BE0" w:rsidR="00315DF9" w:rsidRPr="0000712E" w:rsidRDefault="00315DF9" w:rsidP="007D0C9A">
      <w:pPr>
        <w:autoSpaceDE w:val="0"/>
        <w:autoSpaceDN w:val="0"/>
        <w:adjustRightInd w:val="0"/>
        <w:spacing w:after="0" w:line="240" w:lineRule="auto"/>
        <w:jc w:val="both"/>
        <w:rPr>
          <w:rFonts w:ascii="Times New Roman" w:hAnsi="Times New Roman" w:cs="Times New Roman"/>
          <w:sz w:val="23"/>
          <w:szCs w:val="23"/>
        </w:rPr>
      </w:pPr>
      <w:r w:rsidRPr="0000712E">
        <w:rPr>
          <w:rFonts w:ascii="Arial" w:hAnsi="Arial" w:cs="Arial"/>
          <w:bCs/>
          <w:sz w:val="23"/>
          <w:szCs w:val="23"/>
        </w:rPr>
        <w:t>Si ricorda che, con riferimento alla singola unità di personale, l’importo massimo</w:t>
      </w:r>
      <w:r w:rsidR="00DE13A7" w:rsidRPr="0000712E">
        <w:rPr>
          <w:rFonts w:ascii="Arial" w:hAnsi="Arial" w:cs="Arial"/>
          <w:bCs/>
          <w:sz w:val="23"/>
          <w:szCs w:val="23"/>
        </w:rPr>
        <w:t xml:space="preserve"> </w:t>
      </w:r>
      <w:r w:rsidRPr="0000712E">
        <w:rPr>
          <w:rFonts w:ascii="Arial" w:hAnsi="Arial" w:cs="Arial"/>
          <w:bCs/>
          <w:sz w:val="23"/>
          <w:szCs w:val="23"/>
        </w:rPr>
        <w:t>ammissibile su base annua non può essere superiore al costo totale lordo annuo</w:t>
      </w:r>
      <w:r w:rsidR="00DE13A7" w:rsidRPr="0000712E">
        <w:rPr>
          <w:rFonts w:ascii="Arial" w:hAnsi="Arial" w:cs="Arial"/>
          <w:bCs/>
          <w:sz w:val="23"/>
          <w:szCs w:val="23"/>
        </w:rPr>
        <w:t xml:space="preserve"> sostenuto dall’impresa.</w:t>
      </w:r>
      <w:r w:rsidRPr="0000712E">
        <w:rPr>
          <w:rFonts w:ascii="Arial" w:hAnsi="Arial" w:cs="Arial"/>
          <w:bCs/>
          <w:sz w:val="23"/>
          <w:szCs w:val="23"/>
        </w:rPr>
        <w:t xml:space="preserve"> </w:t>
      </w:r>
    </w:p>
    <w:p w14:paraId="5DAA55A2" w14:textId="77777777" w:rsidR="007D0C9A" w:rsidRDefault="007D0C9A" w:rsidP="007D0C9A">
      <w:pPr>
        <w:autoSpaceDE w:val="0"/>
        <w:autoSpaceDN w:val="0"/>
        <w:adjustRightInd w:val="0"/>
        <w:spacing w:after="0" w:line="240" w:lineRule="auto"/>
        <w:jc w:val="both"/>
        <w:rPr>
          <w:rFonts w:ascii="Times New Roman" w:hAnsi="Times New Roman" w:cs="Times New Roman"/>
          <w:sz w:val="23"/>
          <w:szCs w:val="23"/>
        </w:rPr>
      </w:pPr>
    </w:p>
    <w:p w14:paraId="04EB47FC" w14:textId="3136E7D3" w:rsidR="00315DF9" w:rsidRPr="0000712E" w:rsidRDefault="004D236A" w:rsidP="00DE13A7">
      <w:pPr>
        <w:autoSpaceDE w:val="0"/>
        <w:autoSpaceDN w:val="0"/>
        <w:adjustRightInd w:val="0"/>
        <w:spacing w:after="0" w:line="240" w:lineRule="auto"/>
        <w:jc w:val="both"/>
        <w:rPr>
          <w:rFonts w:ascii="Arial" w:hAnsi="Arial" w:cs="Arial"/>
          <w:bCs/>
          <w:sz w:val="23"/>
          <w:szCs w:val="23"/>
        </w:rPr>
      </w:pPr>
      <w:r w:rsidRPr="0000712E">
        <w:rPr>
          <w:rFonts w:ascii="Arial" w:hAnsi="Arial" w:cs="Arial"/>
          <w:bCs/>
          <w:sz w:val="23"/>
          <w:szCs w:val="23"/>
        </w:rPr>
        <w:t>N</w:t>
      </w:r>
      <w:r w:rsidR="00315DF9" w:rsidRPr="0000712E">
        <w:rPr>
          <w:rFonts w:ascii="Arial" w:hAnsi="Arial" w:cs="Arial"/>
          <w:bCs/>
          <w:sz w:val="23"/>
          <w:szCs w:val="23"/>
        </w:rPr>
        <w:t>on è ammissibile personale che opera presso il beneficiario in</w:t>
      </w:r>
      <w:r w:rsidR="00DE13A7" w:rsidRPr="0000712E">
        <w:rPr>
          <w:rFonts w:ascii="Arial" w:hAnsi="Arial" w:cs="Arial"/>
          <w:bCs/>
          <w:sz w:val="23"/>
          <w:szCs w:val="23"/>
        </w:rPr>
        <w:t xml:space="preserve"> </w:t>
      </w:r>
      <w:r w:rsidR="00D652A5" w:rsidRPr="0000712E">
        <w:rPr>
          <w:rFonts w:ascii="Arial" w:hAnsi="Arial" w:cs="Arial"/>
          <w:bCs/>
          <w:sz w:val="23"/>
          <w:szCs w:val="23"/>
        </w:rPr>
        <w:t xml:space="preserve">trasferta da altre sedi </w:t>
      </w:r>
      <w:r w:rsidR="00315DF9" w:rsidRPr="0000712E">
        <w:rPr>
          <w:rFonts w:ascii="Arial" w:hAnsi="Arial" w:cs="Arial"/>
          <w:bCs/>
          <w:sz w:val="23"/>
          <w:szCs w:val="23"/>
        </w:rPr>
        <w:t>soggetti.</w:t>
      </w:r>
    </w:p>
    <w:p w14:paraId="4E1FB6BA" w14:textId="700F0FFD" w:rsidR="00DE13A7" w:rsidRPr="00BE2BF6" w:rsidRDefault="006C369E" w:rsidP="00DE13A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ab/>
      </w:r>
    </w:p>
    <w:p w14:paraId="29929859" w14:textId="77777777" w:rsidR="006C369E" w:rsidRDefault="006C369E" w:rsidP="00315DF9">
      <w:pPr>
        <w:autoSpaceDE w:val="0"/>
        <w:autoSpaceDN w:val="0"/>
        <w:adjustRightInd w:val="0"/>
        <w:spacing w:after="0" w:line="240" w:lineRule="auto"/>
        <w:rPr>
          <w:rFonts w:ascii="Arial" w:hAnsi="Arial" w:cs="Arial"/>
          <w:b/>
          <w:bCs/>
          <w:i/>
          <w:iCs/>
          <w:sz w:val="27"/>
          <w:szCs w:val="27"/>
        </w:rPr>
      </w:pPr>
    </w:p>
    <w:p w14:paraId="5135349C" w14:textId="77777777" w:rsidR="00315DF9" w:rsidRDefault="00315DF9" w:rsidP="00315DF9">
      <w:pPr>
        <w:autoSpaceDE w:val="0"/>
        <w:autoSpaceDN w:val="0"/>
        <w:adjustRightInd w:val="0"/>
        <w:spacing w:after="0" w:line="240" w:lineRule="auto"/>
        <w:rPr>
          <w:rFonts w:ascii="Arial" w:hAnsi="Arial" w:cs="Arial"/>
          <w:b/>
          <w:bCs/>
          <w:i/>
          <w:iCs/>
          <w:sz w:val="27"/>
          <w:szCs w:val="27"/>
        </w:rPr>
      </w:pPr>
      <w:r>
        <w:rPr>
          <w:rFonts w:ascii="Arial" w:hAnsi="Arial" w:cs="Arial"/>
          <w:b/>
          <w:bCs/>
          <w:i/>
          <w:iCs/>
          <w:sz w:val="27"/>
          <w:szCs w:val="27"/>
        </w:rPr>
        <w:t>Costo delle strumentazioni, attrezzature e/o macchinari</w:t>
      </w:r>
    </w:p>
    <w:p w14:paraId="6DF28F68" w14:textId="291F3F9E" w:rsidR="004C3138" w:rsidRDefault="004C3138" w:rsidP="005812CC">
      <w:pPr>
        <w:autoSpaceDE w:val="0"/>
        <w:autoSpaceDN w:val="0"/>
        <w:adjustRightInd w:val="0"/>
        <w:spacing w:after="0" w:line="240" w:lineRule="auto"/>
        <w:jc w:val="both"/>
        <w:rPr>
          <w:rFonts w:ascii="Arial" w:hAnsi="Arial" w:cs="Arial"/>
          <w:sz w:val="23"/>
          <w:szCs w:val="23"/>
        </w:rPr>
      </w:pPr>
    </w:p>
    <w:p w14:paraId="3B0C8A66" w14:textId="590E42CD" w:rsidR="004C3138"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I beni rendicontati come “strumentazioni e attrezzature” riguarda</w:t>
      </w:r>
      <w:r w:rsidR="0000712E">
        <w:rPr>
          <w:rFonts w:ascii="Arial" w:hAnsi="Arial" w:cs="Arial"/>
          <w:sz w:val="23"/>
          <w:szCs w:val="23"/>
        </w:rPr>
        <w:t>no</w:t>
      </w:r>
      <w:r w:rsidRPr="004C3138">
        <w:rPr>
          <w:rFonts w:ascii="Arial" w:hAnsi="Arial" w:cs="Arial"/>
          <w:sz w:val="23"/>
          <w:szCs w:val="23"/>
        </w:rPr>
        <w:t xml:space="preserve"> la tipologia: strumentazioni, attrezzature e prodotti software (specialistici e funzionali alle attività di ricerca) inventariabili e con un costo unitario pari o superiore a 516,46 euro. </w:t>
      </w:r>
    </w:p>
    <w:p w14:paraId="361F7783" w14:textId="0F1CEB3E" w:rsidR="004C3138"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 xml:space="preserve">Il costo di tali beni </w:t>
      </w:r>
      <w:r w:rsidR="00964D8D">
        <w:rPr>
          <w:rFonts w:ascii="Arial" w:hAnsi="Arial" w:cs="Arial"/>
          <w:sz w:val="23"/>
          <w:szCs w:val="23"/>
        </w:rPr>
        <w:t>è</w:t>
      </w:r>
      <w:r w:rsidRPr="004C3138">
        <w:rPr>
          <w:rFonts w:ascii="Arial" w:hAnsi="Arial" w:cs="Arial"/>
          <w:sz w:val="23"/>
          <w:szCs w:val="23"/>
        </w:rPr>
        <w:t xml:space="preserve"> riconosciut</w:t>
      </w:r>
      <w:r w:rsidR="00964D8D">
        <w:rPr>
          <w:rFonts w:ascii="Arial" w:hAnsi="Arial" w:cs="Arial"/>
          <w:sz w:val="23"/>
          <w:szCs w:val="23"/>
        </w:rPr>
        <w:t>o</w:t>
      </w:r>
      <w:r w:rsidRPr="004C3138">
        <w:rPr>
          <w:rFonts w:ascii="Arial" w:hAnsi="Arial" w:cs="Arial"/>
          <w:sz w:val="23"/>
          <w:szCs w:val="23"/>
        </w:rPr>
        <w:t xml:space="preserve"> limitatamente al periodo di svolgimento delle attività di ricerca in base alla quota di ammortamento del bene stesso. Sono ammissibili i costi di ammortamento di beni ammortizzabili, calcolati sulla base del loro utilizzo effettivo nell’ambito del progetto, alle seguenti condizioni: </w:t>
      </w:r>
    </w:p>
    <w:p w14:paraId="120F1488" w14:textId="14BAD39F" w:rsidR="004C3138" w:rsidRDefault="00BE2BF6" w:rsidP="004C3138">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c</w:t>
      </w:r>
      <w:r w:rsidR="004C3138" w:rsidRPr="004C3138">
        <w:rPr>
          <w:rFonts w:ascii="Arial" w:hAnsi="Arial" w:cs="Arial"/>
          <w:sz w:val="23"/>
          <w:szCs w:val="23"/>
        </w:rPr>
        <w:t>he i beni sia</w:t>
      </w:r>
      <w:r>
        <w:rPr>
          <w:rFonts w:ascii="Arial" w:hAnsi="Arial" w:cs="Arial"/>
          <w:sz w:val="23"/>
          <w:szCs w:val="23"/>
        </w:rPr>
        <w:t>no nuovi e</w:t>
      </w:r>
      <w:r w:rsidR="004C3138" w:rsidRPr="004C3138">
        <w:rPr>
          <w:rFonts w:ascii="Arial" w:hAnsi="Arial" w:cs="Arial"/>
          <w:sz w:val="23"/>
          <w:szCs w:val="23"/>
        </w:rPr>
        <w:t xml:space="preserve">d acquisiti </w:t>
      </w:r>
      <w:r w:rsidR="005E1F83">
        <w:rPr>
          <w:rFonts w:ascii="Arial" w:hAnsi="Arial" w:cs="Arial"/>
          <w:sz w:val="23"/>
          <w:szCs w:val="23"/>
        </w:rPr>
        <w:t>nel periodo di ammissibilità della spesa;</w:t>
      </w:r>
    </w:p>
    <w:p w14:paraId="4803CAEE" w14:textId="6F119F09" w:rsidR="004C3138"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 xml:space="preserve">- che i beni non abbiano già usufruito di contributi pubblici per la loro acquisizione; </w:t>
      </w:r>
    </w:p>
    <w:p w14:paraId="1DD94457" w14:textId="437C6505" w:rsidR="004C3138"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 che il costo sia calcolato secondo le norme fiscali vigenti e in base alla tabella dei coefficienti di ammortamento fissati con decre</w:t>
      </w:r>
      <w:r w:rsidR="005E1F83">
        <w:rPr>
          <w:rFonts w:ascii="Arial" w:hAnsi="Arial" w:cs="Arial"/>
          <w:sz w:val="23"/>
          <w:szCs w:val="23"/>
        </w:rPr>
        <w:t xml:space="preserve">to del Ministero delle Finanze </w:t>
      </w:r>
      <w:r w:rsidRPr="004C3138">
        <w:rPr>
          <w:rFonts w:ascii="Arial" w:hAnsi="Arial" w:cs="Arial"/>
          <w:sz w:val="23"/>
          <w:szCs w:val="23"/>
        </w:rPr>
        <w:t>attualmente</w:t>
      </w:r>
      <w:r w:rsidR="005E1F83">
        <w:rPr>
          <w:rFonts w:ascii="Arial" w:hAnsi="Arial" w:cs="Arial"/>
          <w:sz w:val="23"/>
          <w:szCs w:val="23"/>
        </w:rPr>
        <w:t xml:space="preserve"> vigenti</w:t>
      </w:r>
      <w:r w:rsidRPr="004C3138">
        <w:rPr>
          <w:rFonts w:ascii="Arial" w:hAnsi="Arial" w:cs="Arial"/>
          <w:sz w:val="23"/>
          <w:szCs w:val="23"/>
        </w:rPr>
        <w:t xml:space="preserve">; </w:t>
      </w:r>
    </w:p>
    <w:p w14:paraId="163C4078" w14:textId="77777777" w:rsidR="005E1F83"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 xml:space="preserve">- che il costo di ammortamento sia direttamente riferito al periodo di utilizzo del bene nell’ambito dell’attività del progetto; </w:t>
      </w:r>
    </w:p>
    <w:p w14:paraId="3438F1A7" w14:textId="77777777" w:rsidR="005E1F83"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 xml:space="preserve">- che il bene sia inserito nel libro dei cespiti oppure in altra documentazione equivalente. </w:t>
      </w:r>
    </w:p>
    <w:p w14:paraId="6D246FAB" w14:textId="77777777" w:rsidR="005E1F83" w:rsidRDefault="005E1F83" w:rsidP="004C3138">
      <w:pPr>
        <w:autoSpaceDE w:val="0"/>
        <w:autoSpaceDN w:val="0"/>
        <w:adjustRightInd w:val="0"/>
        <w:spacing w:after="0" w:line="240" w:lineRule="auto"/>
        <w:jc w:val="both"/>
        <w:rPr>
          <w:rFonts w:ascii="Arial" w:hAnsi="Arial" w:cs="Arial"/>
          <w:sz w:val="23"/>
          <w:szCs w:val="23"/>
        </w:rPr>
      </w:pPr>
    </w:p>
    <w:p w14:paraId="4A3982FC" w14:textId="079B554F" w:rsidR="004C3138" w:rsidRDefault="004C3138" w:rsidP="004C3138">
      <w:pPr>
        <w:autoSpaceDE w:val="0"/>
        <w:autoSpaceDN w:val="0"/>
        <w:adjustRightInd w:val="0"/>
        <w:spacing w:after="0" w:line="240" w:lineRule="auto"/>
        <w:jc w:val="both"/>
        <w:rPr>
          <w:rFonts w:ascii="Arial" w:hAnsi="Arial" w:cs="Arial"/>
          <w:sz w:val="23"/>
          <w:szCs w:val="23"/>
        </w:rPr>
      </w:pPr>
      <w:r w:rsidRPr="004C3138">
        <w:rPr>
          <w:rFonts w:ascii="Arial" w:hAnsi="Arial" w:cs="Arial"/>
          <w:sz w:val="23"/>
          <w:szCs w:val="23"/>
        </w:rPr>
        <w:t>Nel caso di beni acquisiti in leasing, sono ammissibili i canoni pagati dall’utilizzatore al concedente, al netto delle spese accessorie (tasse, margine del concedente, interessi, spese generali, oneri assicurativi), nella misura e per il periodo in cui il relativo bene è utilizzato per il Progetto con riferimento al periodo di ammissibilità delle spese.</w:t>
      </w:r>
    </w:p>
    <w:p w14:paraId="1FDAE719" w14:textId="5B725F92" w:rsidR="004C3138" w:rsidRDefault="004C3138" w:rsidP="005812CC">
      <w:pPr>
        <w:autoSpaceDE w:val="0"/>
        <w:autoSpaceDN w:val="0"/>
        <w:adjustRightInd w:val="0"/>
        <w:spacing w:after="0" w:line="240" w:lineRule="auto"/>
        <w:jc w:val="both"/>
        <w:rPr>
          <w:rFonts w:ascii="Arial" w:hAnsi="Arial" w:cs="Arial"/>
          <w:sz w:val="23"/>
          <w:szCs w:val="23"/>
        </w:rPr>
      </w:pPr>
    </w:p>
    <w:p w14:paraId="6D1FE44C" w14:textId="77777777" w:rsidR="004C3138" w:rsidRDefault="004C3138" w:rsidP="00315DF9">
      <w:pPr>
        <w:autoSpaceDE w:val="0"/>
        <w:autoSpaceDN w:val="0"/>
        <w:adjustRightInd w:val="0"/>
        <w:spacing w:after="0" w:line="240" w:lineRule="auto"/>
        <w:rPr>
          <w:rFonts w:ascii="Arial" w:hAnsi="Arial" w:cs="Arial"/>
          <w:b/>
          <w:bCs/>
          <w:i/>
          <w:iCs/>
          <w:sz w:val="27"/>
          <w:szCs w:val="27"/>
        </w:rPr>
      </w:pPr>
    </w:p>
    <w:p w14:paraId="71F74EBD" w14:textId="6A738771" w:rsidR="00315DF9" w:rsidRDefault="00315DF9" w:rsidP="00315DF9">
      <w:pPr>
        <w:autoSpaceDE w:val="0"/>
        <w:autoSpaceDN w:val="0"/>
        <w:adjustRightInd w:val="0"/>
        <w:spacing w:after="0" w:line="240" w:lineRule="auto"/>
        <w:rPr>
          <w:rFonts w:ascii="Arial" w:hAnsi="Arial" w:cs="Arial"/>
          <w:b/>
          <w:bCs/>
          <w:i/>
          <w:iCs/>
          <w:sz w:val="27"/>
          <w:szCs w:val="27"/>
        </w:rPr>
      </w:pPr>
      <w:r>
        <w:rPr>
          <w:rFonts w:ascii="Arial" w:hAnsi="Arial" w:cs="Arial"/>
          <w:b/>
          <w:bCs/>
          <w:i/>
          <w:iCs/>
          <w:sz w:val="27"/>
          <w:szCs w:val="27"/>
        </w:rPr>
        <w:t>Servizi di consulenza e simili</w:t>
      </w:r>
    </w:p>
    <w:p w14:paraId="35BE346D" w14:textId="77777777" w:rsidR="00C73B46" w:rsidRDefault="00C73B46" w:rsidP="00315DF9">
      <w:pPr>
        <w:autoSpaceDE w:val="0"/>
        <w:autoSpaceDN w:val="0"/>
        <w:adjustRightInd w:val="0"/>
        <w:spacing w:after="0" w:line="240" w:lineRule="auto"/>
        <w:rPr>
          <w:rFonts w:ascii="Arial" w:hAnsi="Arial" w:cs="Arial"/>
          <w:b/>
          <w:bCs/>
          <w:i/>
          <w:iCs/>
          <w:sz w:val="27"/>
          <w:szCs w:val="27"/>
        </w:rPr>
      </w:pPr>
    </w:p>
    <w:p w14:paraId="5A8F9584" w14:textId="7C8490FF" w:rsidR="00315DF9" w:rsidRDefault="00315DF9" w:rsidP="00964D8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Le spese per servizi di consulenza </w:t>
      </w:r>
      <w:r w:rsidR="00451985">
        <w:rPr>
          <w:rFonts w:ascii="Arial" w:hAnsi="Arial" w:cs="Arial"/>
          <w:sz w:val="23"/>
          <w:szCs w:val="23"/>
        </w:rPr>
        <w:t xml:space="preserve">e </w:t>
      </w:r>
      <w:r>
        <w:rPr>
          <w:rFonts w:ascii="Arial" w:hAnsi="Arial" w:cs="Arial"/>
          <w:sz w:val="23"/>
          <w:szCs w:val="23"/>
        </w:rPr>
        <w:t xml:space="preserve">simili, sono ammissibili solo se strettamente </w:t>
      </w:r>
      <w:r w:rsidR="00451985">
        <w:rPr>
          <w:rFonts w:ascii="Arial" w:hAnsi="Arial" w:cs="Arial"/>
          <w:sz w:val="23"/>
          <w:szCs w:val="23"/>
        </w:rPr>
        <w:t xml:space="preserve">legate </w:t>
      </w:r>
      <w:r>
        <w:rPr>
          <w:rFonts w:ascii="Arial" w:hAnsi="Arial" w:cs="Arial"/>
          <w:sz w:val="23"/>
          <w:szCs w:val="23"/>
        </w:rPr>
        <w:t>agli scopi del</w:t>
      </w:r>
      <w:r w:rsidR="00451985">
        <w:rPr>
          <w:rFonts w:ascii="Arial" w:hAnsi="Arial" w:cs="Arial"/>
          <w:sz w:val="23"/>
          <w:szCs w:val="23"/>
        </w:rPr>
        <w:t xml:space="preserve"> </w:t>
      </w:r>
      <w:r>
        <w:rPr>
          <w:rFonts w:ascii="Arial" w:hAnsi="Arial" w:cs="Arial"/>
          <w:sz w:val="23"/>
          <w:szCs w:val="23"/>
        </w:rPr>
        <w:t>progetto.</w:t>
      </w:r>
    </w:p>
    <w:p w14:paraId="62661C13" w14:textId="77777777" w:rsidR="00451985" w:rsidRDefault="00451985" w:rsidP="00315DF9">
      <w:pPr>
        <w:autoSpaceDE w:val="0"/>
        <w:autoSpaceDN w:val="0"/>
        <w:adjustRightInd w:val="0"/>
        <w:spacing w:after="0" w:line="240" w:lineRule="auto"/>
        <w:rPr>
          <w:rFonts w:ascii="Arial" w:hAnsi="Arial" w:cs="Arial"/>
          <w:sz w:val="23"/>
          <w:szCs w:val="23"/>
        </w:rPr>
      </w:pPr>
    </w:p>
    <w:p w14:paraId="2ECF9632" w14:textId="75704360" w:rsidR="00315DF9" w:rsidRDefault="00315DF9" w:rsidP="00315DF9">
      <w:pPr>
        <w:autoSpaceDE w:val="0"/>
        <w:autoSpaceDN w:val="0"/>
        <w:adjustRightInd w:val="0"/>
        <w:spacing w:after="0" w:line="240" w:lineRule="auto"/>
        <w:rPr>
          <w:rFonts w:ascii="Arial" w:hAnsi="Arial" w:cs="Arial"/>
          <w:sz w:val="23"/>
          <w:szCs w:val="23"/>
        </w:rPr>
      </w:pPr>
      <w:r>
        <w:rPr>
          <w:rFonts w:ascii="Arial" w:hAnsi="Arial" w:cs="Arial"/>
          <w:sz w:val="23"/>
          <w:szCs w:val="23"/>
        </w:rPr>
        <w:t>In questa voce verranno inclusi:</w:t>
      </w:r>
    </w:p>
    <w:p w14:paraId="6ED5B19C" w14:textId="77777777" w:rsidR="00451985" w:rsidRDefault="00451985" w:rsidP="00315DF9">
      <w:pPr>
        <w:autoSpaceDE w:val="0"/>
        <w:autoSpaceDN w:val="0"/>
        <w:adjustRightInd w:val="0"/>
        <w:spacing w:after="0" w:line="240" w:lineRule="auto"/>
        <w:rPr>
          <w:rFonts w:ascii="Arial" w:hAnsi="Arial" w:cs="Arial"/>
          <w:sz w:val="23"/>
          <w:szCs w:val="23"/>
        </w:rPr>
      </w:pPr>
    </w:p>
    <w:p w14:paraId="6CC1D64D" w14:textId="77777777" w:rsidR="00315DF9" w:rsidRDefault="00315DF9" w:rsidP="00315DF9">
      <w:pPr>
        <w:autoSpaceDE w:val="0"/>
        <w:autoSpaceDN w:val="0"/>
        <w:adjustRightInd w:val="0"/>
        <w:spacing w:after="0" w:line="240" w:lineRule="auto"/>
        <w:rPr>
          <w:rFonts w:ascii="Arial" w:hAnsi="Arial" w:cs="Arial"/>
          <w:b/>
          <w:bCs/>
          <w:i/>
          <w:iCs/>
          <w:sz w:val="23"/>
          <w:szCs w:val="23"/>
        </w:rPr>
      </w:pPr>
      <w:r>
        <w:rPr>
          <w:rFonts w:ascii="Arial" w:hAnsi="Arial" w:cs="Arial"/>
          <w:b/>
          <w:bCs/>
          <w:i/>
          <w:iCs/>
          <w:sz w:val="23"/>
          <w:szCs w:val="23"/>
        </w:rPr>
        <w:t>a) Consulenze</w:t>
      </w:r>
    </w:p>
    <w:p w14:paraId="38DA5552" w14:textId="77777777" w:rsidR="00F36952" w:rsidRDefault="00F36952" w:rsidP="00315DF9">
      <w:pPr>
        <w:autoSpaceDE w:val="0"/>
        <w:autoSpaceDN w:val="0"/>
        <w:adjustRightInd w:val="0"/>
        <w:spacing w:after="0" w:line="240" w:lineRule="auto"/>
        <w:rPr>
          <w:rFonts w:ascii="Arial" w:hAnsi="Arial" w:cs="Arial"/>
          <w:b/>
          <w:bCs/>
          <w:i/>
          <w:iCs/>
          <w:sz w:val="23"/>
          <w:szCs w:val="23"/>
        </w:rPr>
      </w:pPr>
    </w:p>
    <w:p w14:paraId="375E9DC6" w14:textId="6AEE8874" w:rsidR="00315DF9" w:rsidRDefault="00315DF9" w:rsidP="003D18C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Per consulenze si intendono le attività con contenuto di ricerca o progettazione destinate al</w:t>
      </w:r>
      <w:r w:rsidR="00451985">
        <w:rPr>
          <w:rFonts w:ascii="Arial" w:hAnsi="Arial" w:cs="Arial"/>
          <w:sz w:val="23"/>
          <w:szCs w:val="23"/>
        </w:rPr>
        <w:t xml:space="preserve"> </w:t>
      </w:r>
      <w:r>
        <w:rPr>
          <w:rFonts w:ascii="Arial" w:hAnsi="Arial" w:cs="Arial"/>
          <w:sz w:val="23"/>
          <w:szCs w:val="23"/>
        </w:rPr>
        <w:t xml:space="preserve">progetto di ricerca industriale e sviluppo sperimentale e commissionate a terzi. </w:t>
      </w:r>
    </w:p>
    <w:p w14:paraId="155A35BD" w14:textId="5BD43FB3" w:rsidR="00451985" w:rsidRPr="00475F8C" w:rsidRDefault="00315DF9" w:rsidP="00475F8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Il loro costo sarà determinato in base alla fattura al netto di IVA.</w:t>
      </w:r>
    </w:p>
    <w:p w14:paraId="773F41FB" w14:textId="77777777" w:rsidR="00451985" w:rsidRDefault="00451985" w:rsidP="00315DF9">
      <w:pPr>
        <w:autoSpaceDE w:val="0"/>
        <w:autoSpaceDN w:val="0"/>
        <w:adjustRightInd w:val="0"/>
        <w:spacing w:after="0" w:line="240" w:lineRule="auto"/>
        <w:rPr>
          <w:rFonts w:ascii="Arial" w:hAnsi="Arial" w:cs="Arial"/>
          <w:b/>
          <w:bCs/>
          <w:i/>
          <w:iCs/>
          <w:sz w:val="23"/>
          <w:szCs w:val="23"/>
        </w:rPr>
      </w:pPr>
    </w:p>
    <w:p w14:paraId="7D6C43FD" w14:textId="40CC4351" w:rsidR="00315DF9" w:rsidRDefault="00315DF9" w:rsidP="00315DF9">
      <w:pPr>
        <w:autoSpaceDE w:val="0"/>
        <w:autoSpaceDN w:val="0"/>
        <w:adjustRightInd w:val="0"/>
        <w:spacing w:after="0" w:line="240" w:lineRule="auto"/>
        <w:rPr>
          <w:rFonts w:ascii="Arial" w:hAnsi="Arial" w:cs="Arial"/>
          <w:b/>
          <w:bCs/>
          <w:i/>
          <w:iCs/>
          <w:sz w:val="23"/>
          <w:szCs w:val="23"/>
        </w:rPr>
      </w:pPr>
      <w:r>
        <w:rPr>
          <w:rFonts w:ascii="Arial" w:hAnsi="Arial" w:cs="Arial"/>
          <w:b/>
          <w:bCs/>
          <w:i/>
          <w:iCs/>
          <w:sz w:val="23"/>
          <w:szCs w:val="23"/>
        </w:rPr>
        <w:t>b) Prestazioni di terzi</w:t>
      </w:r>
    </w:p>
    <w:p w14:paraId="02090184" w14:textId="145706C9" w:rsidR="004C3138" w:rsidRDefault="00315DF9" w:rsidP="00451985">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Per prestazioni di terzi si intendono prestazioni di carattere esecutivo destinate al progetto di</w:t>
      </w:r>
      <w:r w:rsidR="00451985">
        <w:rPr>
          <w:rFonts w:ascii="Arial" w:hAnsi="Arial" w:cs="Arial"/>
          <w:sz w:val="23"/>
          <w:szCs w:val="23"/>
        </w:rPr>
        <w:t xml:space="preserve"> </w:t>
      </w:r>
      <w:r>
        <w:rPr>
          <w:rFonts w:ascii="Arial" w:hAnsi="Arial" w:cs="Arial"/>
          <w:sz w:val="23"/>
          <w:szCs w:val="23"/>
        </w:rPr>
        <w:t>ricerca industriale e sviluppo sperimentale e commissionate a terzi.</w:t>
      </w:r>
      <w:r w:rsidR="00451985">
        <w:rPr>
          <w:rFonts w:ascii="Arial" w:hAnsi="Arial" w:cs="Arial"/>
          <w:sz w:val="23"/>
          <w:szCs w:val="23"/>
        </w:rPr>
        <w:t xml:space="preserve"> </w:t>
      </w:r>
      <w:r>
        <w:rPr>
          <w:rFonts w:ascii="Arial" w:hAnsi="Arial" w:cs="Arial"/>
          <w:sz w:val="23"/>
          <w:szCs w:val="23"/>
        </w:rPr>
        <w:t>Il loro costo sarà determinato in base alla fattura al netto di IVA.</w:t>
      </w:r>
    </w:p>
    <w:p w14:paraId="69AC1A6B" w14:textId="0C79D0F3" w:rsidR="00451985" w:rsidRPr="00161A1B" w:rsidRDefault="00451985" w:rsidP="00451985">
      <w:pPr>
        <w:autoSpaceDE w:val="0"/>
        <w:autoSpaceDN w:val="0"/>
        <w:adjustRightInd w:val="0"/>
        <w:spacing w:after="0" w:line="240" w:lineRule="auto"/>
        <w:jc w:val="both"/>
        <w:rPr>
          <w:rFonts w:ascii="Arial" w:hAnsi="Arial" w:cs="Arial"/>
          <w:sz w:val="23"/>
          <w:szCs w:val="23"/>
        </w:rPr>
      </w:pPr>
      <w:r w:rsidRPr="00161A1B">
        <w:rPr>
          <w:rFonts w:ascii="Arial" w:hAnsi="Arial" w:cs="Arial"/>
          <w:sz w:val="23"/>
          <w:szCs w:val="23"/>
        </w:rPr>
        <w:t>Non sono in alcun caso ammesse prestazioni su attività a carattere ordinario di tipo fiscale, legale, amministrativo e simili ed altre consulenze tecniche non direttamente connesse con lo svolgimento dell’attività di ricerca.</w:t>
      </w:r>
    </w:p>
    <w:p w14:paraId="4B3B4AE0" w14:textId="77777777" w:rsidR="004C3138" w:rsidRDefault="004C3138" w:rsidP="00315DF9">
      <w:pPr>
        <w:autoSpaceDE w:val="0"/>
        <w:autoSpaceDN w:val="0"/>
        <w:adjustRightInd w:val="0"/>
        <w:spacing w:after="0" w:line="240" w:lineRule="auto"/>
        <w:rPr>
          <w:rFonts w:ascii="Arial" w:hAnsi="Arial" w:cs="Arial"/>
          <w:b/>
          <w:bCs/>
          <w:i/>
          <w:iCs/>
          <w:sz w:val="23"/>
          <w:szCs w:val="23"/>
        </w:rPr>
      </w:pPr>
    </w:p>
    <w:p w14:paraId="59270C9B" w14:textId="030E00A4" w:rsidR="00315DF9" w:rsidRDefault="00315DF9" w:rsidP="00315DF9">
      <w:pPr>
        <w:autoSpaceDE w:val="0"/>
        <w:autoSpaceDN w:val="0"/>
        <w:adjustRightInd w:val="0"/>
        <w:spacing w:after="0" w:line="240" w:lineRule="auto"/>
        <w:rPr>
          <w:rFonts w:ascii="Arial" w:hAnsi="Arial" w:cs="Arial"/>
          <w:b/>
          <w:bCs/>
          <w:i/>
          <w:iCs/>
          <w:sz w:val="23"/>
          <w:szCs w:val="23"/>
        </w:rPr>
      </w:pPr>
      <w:r>
        <w:rPr>
          <w:rFonts w:ascii="Arial" w:hAnsi="Arial" w:cs="Arial"/>
          <w:b/>
          <w:bCs/>
          <w:i/>
          <w:iCs/>
          <w:sz w:val="23"/>
          <w:szCs w:val="23"/>
        </w:rPr>
        <w:t>c) Beni immateriali</w:t>
      </w:r>
    </w:p>
    <w:p w14:paraId="1A1A4E6F" w14:textId="05E7D5CD" w:rsidR="00315DF9" w:rsidRDefault="00315DF9" w:rsidP="00451985">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In questa voce sono inclusi i costi per l’acquisizione di risultati di ricerca, brevetti, know </w:t>
      </w:r>
      <w:proofErr w:type="spellStart"/>
      <w:r>
        <w:rPr>
          <w:rFonts w:ascii="Arial" w:hAnsi="Arial" w:cs="Arial"/>
          <w:sz w:val="23"/>
          <w:szCs w:val="23"/>
        </w:rPr>
        <w:t>how</w:t>
      </w:r>
      <w:proofErr w:type="spellEnd"/>
      <w:r>
        <w:rPr>
          <w:rFonts w:ascii="Arial" w:hAnsi="Arial" w:cs="Arial"/>
          <w:sz w:val="23"/>
          <w:szCs w:val="23"/>
        </w:rPr>
        <w:t xml:space="preserve"> e</w:t>
      </w:r>
      <w:r w:rsidR="00451985">
        <w:rPr>
          <w:rFonts w:ascii="Arial" w:hAnsi="Arial" w:cs="Arial"/>
          <w:sz w:val="23"/>
          <w:szCs w:val="23"/>
        </w:rPr>
        <w:t xml:space="preserve"> </w:t>
      </w:r>
      <w:r>
        <w:rPr>
          <w:rFonts w:ascii="Arial" w:hAnsi="Arial" w:cs="Arial"/>
          <w:sz w:val="23"/>
          <w:szCs w:val="23"/>
        </w:rPr>
        <w:t>diritti di licenza.</w:t>
      </w:r>
    </w:p>
    <w:p w14:paraId="7E3FCA71" w14:textId="77777777" w:rsidR="00315DF9" w:rsidRDefault="00315DF9" w:rsidP="00451985">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Per la determinazione del costo dei beni immateriali si applicano i seguenti criteri:</w:t>
      </w:r>
    </w:p>
    <w:p w14:paraId="0689C17C" w14:textId="409CC96E" w:rsidR="00315DF9" w:rsidRDefault="00315DF9" w:rsidP="006B0671">
      <w:pPr>
        <w:autoSpaceDE w:val="0"/>
        <w:autoSpaceDN w:val="0"/>
        <w:adjustRightInd w:val="0"/>
        <w:spacing w:after="0" w:line="240" w:lineRule="auto"/>
        <w:ind w:left="567" w:hanging="283"/>
        <w:jc w:val="both"/>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Arial" w:hAnsi="Arial" w:cs="Arial"/>
          <w:sz w:val="23"/>
          <w:szCs w:val="23"/>
        </w:rPr>
        <w:t>i beni immateriali esistenti alla data di decorrenza dell'ammissibilità dei costi non sono</w:t>
      </w:r>
      <w:r w:rsidR="00451985">
        <w:rPr>
          <w:rFonts w:ascii="Arial" w:hAnsi="Arial" w:cs="Arial"/>
          <w:sz w:val="23"/>
          <w:szCs w:val="23"/>
        </w:rPr>
        <w:t xml:space="preserve"> </w:t>
      </w:r>
      <w:r>
        <w:rPr>
          <w:rFonts w:ascii="Arial" w:hAnsi="Arial" w:cs="Arial"/>
          <w:sz w:val="23"/>
          <w:szCs w:val="23"/>
        </w:rPr>
        <w:t>computabili ai fini del finanziamento, né potranno essere considerate quote del loro</w:t>
      </w:r>
      <w:r w:rsidR="00451985">
        <w:rPr>
          <w:rFonts w:ascii="Arial" w:hAnsi="Arial" w:cs="Arial"/>
          <w:sz w:val="23"/>
          <w:szCs w:val="23"/>
        </w:rPr>
        <w:t xml:space="preserve"> </w:t>
      </w:r>
      <w:r>
        <w:rPr>
          <w:rFonts w:ascii="Arial" w:hAnsi="Arial" w:cs="Arial"/>
          <w:sz w:val="23"/>
          <w:szCs w:val="23"/>
        </w:rPr>
        <w:t>ammortamento;</w:t>
      </w:r>
    </w:p>
    <w:p w14:paraId="6FC22C9D" w14:textId="4019FB4D" w:rsidR="00315DF9" w:rsidRDefault="00315DF9" w:rsidP="006B0671">
      <w:pPr>
        <w:autoSpaceDE w:val="0"/>
        <w:autoSpaceDN w:val="0"/>
        <w:adjustRightInd w:val="0"/>
        <w:spacing w:after="0" w:line="240" w:lineRule="auto"/>
        <w:ind w:left="567" w:hanging="283"/>
        <w:jc w:val="both"/>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Arial" w:hAnsi="Arial" w:cs="Arial"/>
          <w:sz w:val="23"/>
          <w:szCs w:val="23"/>
        </w:rPr>
        <w:t>il costo dei beni immateriali di nuovo acquisto da utilizzare esclusivamente per il</w:t>
      </w:r>
      <w:r w:rsidR="00451985">
        <w:rPr>
          <w:rFonts w:ascii="Arial" w:hAnsi="Arial" w:cs="Arial"/>
          <w:sz w:val="23"/>
          <w:szCs w:val="23"/>
        </w:rPr>
        <w:t xml:space="preserve"> </w:t>
      </w:r>
      <w:r>
        <w:rPr>
          <w:rFonts w:ascii="Arial" w:hAnsi="Arial" w:cs="Arial"/>
          <w:sz w:val="23"/>
          <w:szCs w:val="23"/>
        </w:rPr>
        <w:t>progetto sarà determinato in base alla fattura al netto di IVA;</w:t>
      </w:r>
    </w:p>
    <w:p w14:paraId="03A6C564" w14:textId="4D47645F" w:rsidR="00315DF9" w:rsidRDefault="00315DF9" w:rsidP="006B0671">
      <w:pPr>
        <w:autoSpaceDE w:val="0"/>
        <w:autoSpaceDN w:val="0"/>
        <w:adjustRightInd w:val="0"/>
        <w:spacing w:after="0" w:line="240" w:lineRule="auto"/>
        <w:ind w:left="567" w:hanging="283"/>
        <w:jc w:val="both"/>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Arial" w:hAnsi="Arial" w:cs="Arial"/>
          <w:sz w:val="23"/>
          <w:szCs w:val="23"/>
        </w:rPr>
        <w:t>per i beni immateriali di nuovo acquisto, il cui uso sia necessario ma non esclusivo per</w:t>
      </w:r>
      <w:r w:rsidR="00451985">
        <w:rPr>
          <w:rFonts w:ascii="Arial" w:hAnsi="Arial" w:cs="Arial"/>
          <w:sz w:val="23"/>
          <w:szCs w:val="23"/>
        </w:rPr>
        <w:t xml:space="preserve"> </w:t>
      </w:r>
      <w:r>
        <w:rPr>
          <w:rFonts w:ascii="Arial" w:hAnsi="Arial" w:cs="Arial"/>
          <w:sz w:val="23"/>
          <w:szCs w:val="23"/>
        </w:rPr>
        <w:t>il progetto di ricerca industriale e sviluppo sperimentale, il costo relativo da calcolare</w:t>
      </w:r>
      <w:r w:rsidR="00451985">
        <w:rPr>
          <w:rFonts w:ascii="Arial" w:hAnsi="Arial" w:cs="Arial"/>
          <w:sz w:val="23"/>
          <w:szCs w:val="23"/>
        </w:rPr>
        <w:t xml:space="preserve"> </w:t>
      </w:r>
      <w:r>
        <w:rPr>
          <w:rFonts w:ascii="Arial" w:hAnsi="Arial" w:cs="Arial"/>
          <w:sz w:val="23"/>
          <w:szCs w:val="23"/>
        </w:rPr>
        <w:t>come indicato al punto precedente sarà ammesso al finanziamento in parte</w:t>
      </w:r>
      <w:r w:rsidR="00451985">
        <w:rPr>
          <w:rFonts w:ascii="Arial" w:hAnsi="Arial" w:cs="Arial"/>
          <w:sz w:val="23"/>
          <w:szCs w:val="23"/>
        </w:rPr>
        <w:t xml:space="preserve"> </w:t>
      </w:r>
      <w:r>
        <w:rPr>
          <w:rFonts w:ascii="Arial" w:hAnsi="Arial" w:cs="Arial"/>
          <w:sz w:val="23"/>
          <w:szCs w:val="23"/>
        </w:rPr>
        <w:t>proporzionale all'uso effettivo per il progetto stesso.</w:t>
      </w:r>
    </w:p>
    <w:p w14:paraId="06A7A42C" w14:textId="77777777" w:rsidR="00F34076" w:rsidRDefault="00F34076" w:rsidP="00451985">
      <w:pPr>
        <w:autoSpaceDE w:val="0"/>
        <w:autoSpaceDN w:val="0"/>
        <w:adjustRightInd w:val="0"/>
        <w:spacing w:after="0" w:line="240" w:lineRule="auto"/>
        <w:jc w:val="both"/>
        <w:rPr>
          <w:rFonts w:ascii="Arial" w:hAnsi="Arial" w:cs="Arial"/>
          <w:sz w:val="23"/>
          <w:szCs w:val="23"/>
        </w:rPr>
      </w:pPr>
    </w:p>
    <w:p w14:paraId="2FEF46B9" w14:textId="77777777" w:rsidR="00315DF9" w:rsidRDefault="00315DF9" w:rsidP="00315DF9">
      <w:pPr>
        <w:autoSpaceDE w:val="0"/>
        <w:autoSpaceDN w:val="0"/>
        <w:adjustRightInd w:val="0"/>
        <w:spacing w:after="0" w:line="240" w:lineRule="auto"/>
        <w:rPr>
          <w:rFonts w:ascii="Arial" w:hAnsi="Arial" w:cs="Arial"/>
          <w:b/>
          <w:bCs/>
          <w:i/>
          <w:iCs/>
          <w:sz w:val="27"/>
          <w:szCs w:val="27"/>
        </w:rPr>
      </w:pPr>
      <w:r>
        <w:rPr>
          <w:rFonts w:ascii="Arial" w:hAnsi="Arial" w:cs="Arial"/>
          <w:b/>
          <w:bCs/>
          <w:i/>
          <w:iCs/>
          <w:sz w:val="27"/>
          <w:szCs w:val="27"/>
        </w:rPr>
        <w:t>Materiali direttamente imputabili all’attività di ricerca</w:t>
      </w:r>
    </w:p>
    <w:p w14:paraId="46D12FA4" w14:textId="058AFFEE" w:rsidR="00315DF9" w:rsidRDefault="00315DF9" w:rsidP="00451985">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In questa voce sono inclusi materie prime, componenti, semilavorati, materiali commerciali,</w:t>
      </w:r>
      <w:r w:rsidR="00451985">
        <w:rPr>
          <w:rFonts w:ascii="Arial" w:hAnsi="Arial" w:cs="Arial"/>
          <w:sz w:val="23"/>
          <w:szCs w:val="23"/>
        </w:rPr>
        <w:t xml:space="preserve"> </w:t>
      </w:r>
      <w:r>
        <w:rPr>
          <w:rFonts w:ascii="Arial" w:hAnsi="Arial" w:cs="Arial"/>
          <w:sz w:val="23"/>
          <w:szCs w:val="23"/>
        </w:rPr>
        <w:t>materiali di consumo specifico, oltre alle strumentazioni utilizzate per la realizzazione di</w:t>
      </w:r>
      <w:r w:rsidR="00451985">
        <w:rPr>
          <w:rFonts w:ascii="Arial" w:hAnsi="Arial" w:cs="Arial"/>
          <w:sz w:val="23"/>
          <w:szCs w:val="23"/>
        </w:rPr>
        <w:t xml:space="preserve"> </w:t>
      </w:r>
      <w:r>
        <w:rPr>
          <w:rFonts w:ascii="Arial" w:hAnsi="Arial" w:cs="Arial"/>
          <w:sz w:val="23"/>
          <w:szCs w:val="23"/>
        </w:rPr>
        <w:t>prototipi e/o impianti pilota.</w:t>
      </w:r>
    </w:p>
    <w:p w14:paraId="147F3B61" w14:textId="77777777" w:rsidR="00164B2C" w:rsidRDefault="00315DF9" w:rsidP="00E57C5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Non rientrano invece nella voce “materiali”, in quanto riferiti alla voce spese generali, i costi</w:t>
      </w:r>
      <w:r w:rsidR="009F0B12">
        <w:rPr>
          <w:rFonts w:ascii="Arial" w:hAnsi="Arial" w:cs="Arial"/>
          <w:sz w:val="23"/>
          <w:szCs w:val="23"/>
        </w:rPr>
        <w:t xml:space="preserve"> </w:t>
      </w:r>
      <w:r w:rsidR="00E57C59">
        <w:rPr>
          <w:rFonts w:ascii="Arial" w:hAnsi="Arial" w:cs="Arial"/>
          <w:sz w:val="23"/>
          <w:szCs w:val="23"/>
        </w:rPr>
        <w:t xml:space="preserve">dei </w:t>
      </w:r>
      <w:r>
        <w:rPr>
          <w:rFonts w:ascii="Arial" w:hAnsi="Arial" w:cs="Arial"/>
          <w:sz w:val="23"/>
          <w:szCs w:val="23"/>
        </w:rPr>
        <w:t>materiali minuti necessari per la funzionalità operativa quali: attrezzi di lavoro, minuteria</w:t>
      </w:r>
      <w:r w:rsidR="00E57C59">
        <w:rPr>
          <w:rFonts w:ascii="Arial" w:hAnsi="Arial" w:cs="Arial"/>
          <w:sz w:val="23"/>
          <w:szCs w:val="23"/>
        </w:rPr>
        <w:t xml:space="preserve"> </w:t>
      </w:r>
      <w:r>
        <w:rPr>
          <w:rFonts w:ascii="Arial" w:hAnsi="Arial" w:cs="Arial"/>
          <w:sz w:val="23"/>
          <w:szCs w:val="23"/>
        </w:rPr>
        <w:t>metallica ed elettrica, articoli per la protezione del personale (guanti, occhiali, ecc.), floppy</w:t>
      </w:r>
      <w:r w:rsidR="00E57C59">
        <w:rPr>
          <w:rFonts w:ascii="Arial" w:hAnsi="Arial" w:cs="Arial"/>
          <w:sz w:val="23"/>
          <w:szCs w:val="23"/>
        </w:rPr>
        <w:t xml:space="preserve"> </w:t>
      </w:r>
      <w:r>
        <w:rPr>
          <w:rFonts w:ascii="Arial" w:hAnsi="Arial" w:cs="Arial"/>
          <w:sz w:val="23"/>
          <w:szCs w:val="23"/>
        </w:rPr>
        <w:t>disk per calcolatori e carta per stampanti, vetreria di ordinaria dotazione, mangimi, lettiere e</w:t>
      </w:r>
      <w:r w:rsidR="00E57C59">
        <w:rPr>
          <w:rFonts w:ascii="Arial" w:hAnsi="Arial" w:cs="Arial"/>
          <w:sz w:val="23"/>
          <w:szCs w:val="23"/>
        </w:rPr>
        <w:t xml:space="preserve"> gabbie per il mantenimento </w:t>
      </w:r>
      <w:r>
        <w:rPr>
          <w:rFonts w:ascii="Arial" w:hAnsi="Arial" w:cs="Arial"/>
          <w:sz w:val="23"/>
          <w:szCs w:val="23"/>
        </w:rPr>
        <w:t>degli animali da laboratorio, ecc.</w:t>
      </w:r>
      <w:r w:rsidR="00E57C59">
        <w:rPr>
          <w:rFonts w:ascii="Arial" w:hAnsi="Arial" w:cs="Arial"/>
          <w:sz w:val="23"/>
          <w:szCs w:val="23"/>
        </w:rPr>
        <w:t xml:space="preserve"> </w:t>
      </w:r>
      <w:r>
        <w:rPr>
          <w:rFonts w:ascii="Arial" w:hAnsi="Arial" w:cs="Arial"/>
          <w:sz w:val="23"/>
          <w:szCs w:val="23"/>
        </w:rPr>
        <w:t>I costi relativi, in caso di acquisto all'esterno, saranno determinati in base alla fattura al netto</w:t>
      </w:r>
      <w:r w:rsidR="00E57C59">
        <w:rPr>
          <w:rFonts w:ascii="Arial" w:hAnsi="Arial" w:cs="Arial"/>
          <w:sz w:val="23"/>
          <w:szCs w:val="23"/>
        </w:rPr>
        <w:t xml:space="preserve"> </w:t>
      </w:r>
      <w:r>
        <w:rPr>
          <w:rFonts w:ascii="Arial" w:hAnsi="Arial" w:cs="Arial"/>
          <w:sz w:val="23"/>
          <w:szCs w:val="23"/>
        </w:rPr>
        <w:t xml:space="preserve">di IVA. </w:t>
      </w:r>
    </w:p>
    <w:p w14:paraId="0E964C80" w14:textId="7015BB5F" w:rsidR="00315DF9" w:rsidRDefault="00315DF9" w:rsidP="00E57C5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Non sono inclusi nel costo dei materiali spese di spedizione, dazi doganali, trasporto e</w:t>
      </w:r>
      <w:r w:rsidR="00E57C59">
        <w:rPr>
          <w:rFonts w:ascii="Arial" w:hAnsi="Arial" w:cs="Arial"/>
          <w:sz w:val="23"/>
          <w:szCs w:val="23"/>
        </w:rPr>
        <w:t xml:space="preserve"> </w:t>
      </w:r>
      <w:r>
        <w:rPr>
          <w:rFonts w:ascii="Arial" w:hAnsi="Arial" w:cs="Arial"/>
          <w:sz w:val="23"/>
          <w:szCs w:val="23"/>
        </w:rPr>
        <w:t>imballo.</w:t>
      </w:r>
    </w:p>
    <w:p w14:paraId="5113BCEE" w14:textId="6B464D4B" w:rsidR="00315DF9" w:rsidRDefault="00315DF9" w:rsidP="00E57C59">
      <w:pPr>
        <w:autoSpaceDE w:val="0"/>
        <w:autoSpaceDN w:val="0"/>
        <w:adjustRightInd w:val="0"/>
        <w:spacing w:after="0" w:line="240" w:lineRule="auto"/>
        <w:jc w:val="both"/>
        <w:rPr>
          <w:rFonts w:ascii="Arial" w:hAnsi="Arial" w:cs="Arial"/>
          <w:sz w:val="23"/>
          <w:szCs w:val="23"/>
        </w:rPr>
      </w:pPr>
      <w:r>
        <w:rPr>
          <w:rFonts w:ascii="Arial" w:hAnsi="Arial" w:cs="Arial"/>
          <w:sz w:val="23"/>
          <w:szCs w:val="23"/>
        </w:rPr>
        <w:t>Non è ammissibile a contributo il costo di materiali già esistenti in magazzino alla data di</w:t>
      </w:r>
      <w:r w:rsidR="00E57C59">
        <w:rPr>
          <w:rFonts w:ascii="Arial" w:hAnsi="Arial" w:cs="Arial"/>
          <w:sz w:val="23"/>
          <w:szCs w:val="23"/>
        </w:rPr>
        <w:t xml:space="preserve"> </w:t>
      </w:r>
      <w:r>
        <w:rPr>
          <w:rFonts w:ascii="Arial" w:hAnsi="Arial" w:cs="Arial"/>
          <w:sz w:val="23"/>
          <w:szCs w:val="23"/>
        </w:rPr>
        <w:t>decorrenza dell'ammissibilità della spesa.</w:t>
      </w:r>
    </w:p>
    <w:p w14:paraId="74EE3119" w14:textId="77777777" w:rsidR="00ED33D2" w:rsidRDefault="00ED33D2" w:rsidP="00E57C59">
      <w:pPr>
        <w:autoSpaceDE w:val="0"/>
        <w:autoSpaceDN w:val="0"/>
        <w:adjustRightInd w:val="0"/>
        <w:spacing w:after="0" w:line="240" w:lineRule="auto"/>
        <w:jc w:val="both"/>
        <w:rPr>
          <w:rFonts w:ascii="Arial" w:hAnsi="Arial" w:cs="Arial"/>
          <w:sz w:val="23"/>
          <w:szCs w:val="23"/>
        </w:rPr>
      </w:pPr>
    </w:p>
    <w:p w14:paraId="6C61818B" w14:textId="77777777" w:rsidR="00315DF9" w:rsidRDefault="00315DF9" w:rsidP="00315DF9">
      <w:pPr>
        <w:autoSpaceDE w:val="0"/>
        <w:autoSpaceDN w:val="0"/>
        <w:adjustRightInd w:val="0"/>
        <w:spacing w:after="0" w:line="240" w:lineRule="auto"/>
        <w:rPr>
          <w:rFonts w:ascii="Arial" w:hAnsi="Arial" w:cs="Arial"/>
          <w:b/>
          <w:bCs/>
          <w:i/>
          <w:iCs/>
          <w:sz w:val="27"/>
          <w:szCs w:val="27"/>
        </w:rPr>
      </w:pPr>
      <w:r>
        <w:rPr>
          <w:rFonts w:ascii="Arial" w:hAnsi="Arial" w:cs="Arial"/>
          <w:b/>
          <w:bCs/>
          <w:i/>
          <w:iCs/>
          <w:sz w:val="27"/>
          <w:szCs w:val="27"/>
        </w:rPr>
        <w:t>Spese generali supplementari</w:t>
      </w:r>
    </w:p>
    <w:p w14:paraId="01965540" w14:textId="77777777" w:rsidR="00E52C12" w:rsidRDefault="00E52C12" w:rsidP="00315DF9">
      <w:pPr>
        <w:autoSpaceDE w:val="0"/>
        <w:autoSpaceDN w:val="0"/>
        <w:adjustRightInd w:val="0"/>
        <w:spacing w:after="0" w:line="240" w:lineRule="auto"/>
        <w:rPr>
          <w:rFonts w:ascii="Arial" w:hAnsi="Arial" w:cs="Arial"/>
          <w:b/>
          <w:bCs/>
          <w:i/>
          <w:iCs/>
          <w:sz w:val="27"/>
          <w:szCs w:val="27"/>
        </w:rPr>
      </w:pPr>
    </w:p>
    <w:p w14:paraId="4C5F3842" w14:textId="1749B44B" w:rsidR="00315DF9" w:rsidRDefault="00315DF9" w:rsidP="00ED33D2">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La presente tipologia di costo è </w:t>
      </w:r>
      <w:r w:rsidRPr="00E52C12">
        <w:rPr>
          <w:rFonts w:ascii="Arial" w:hAnsi="Arial" w:cs="Arial"/>
          <w:sz w:val="23"/>
          <w:szCs w:val="23"/>
        </w:rPr>
        <w:t xml:space="preserve">ammissibile </w:t>
      </w:r>
      <w:r w:rsidR="00E52C12" w:rsidRPr="00E52C12">
        <w:rPr>
          <w:rFonts w:ascii="Arial" w:hAnsi="Arial" w:cs="Arial"/>
          <w:sz w:val="23"/>
          <w:szCs w:val="23"/>
        </w:rPr>
        <w:t>fino al</w:t>
      </w:r>
      <w:r w:rsidRPr="00E52C12">
        <w:rPr>
          <w:rFonts w:ascii="Arial" w:hAnsi="Arial" w:cs="Arial"/>
          <w:sz w:val="23"/>
          <w:szCs w:val="23"/>
        </w:rPr>
        <w:t xml:space="preserve"> 15% forfettario</w:t>
      </w:r>
      <w:r>
        <w:rPr>
          <w:rFonts w:ascii="Arial" w:hAnsi="Arial" w:cs="Arial"/>
          <w:sz w:val="23"/>
          <w:szCs w:val="23"/>
        </w:rPr>
        <w:t xml:space="preserve"> delle spese del</w:t>
      </w:r>
      <w:r w:rsidR="00E57C59">
        <w:rPr>
          <w:rFonts w:ascii="Arial" w:hAnsi="Arial" w:cs="Arial"/>
          <w:sz w:val="23"/>
          <w:szCs w:val="23"/>
        </w:rPr>
        <w:t xml:space="preserve"> </w:t>
      </w:r>
      <w:r>
        <w:rPr>
          <w:rFonts w:ascii="Arial" w:hAnsi="Arial" w:cs="Arial"/>
          <w:sz w:val="23"/>
          <w:szCs w:val="23"/>
        </w:rPr>
        <w:t>personale dipendente di ricerca senza necessità di dimostrazione.</w:t>
      </w:r>
    </w:p>
    <w:p w14:paraId="5F133386" w14:textId="67DEA82B" w:rsidR="00315DF9" w:rsidRDefault="00E52C12" w:rsidP="00ED33D2">
      <w:pPr>
        <w:autoSpaceDE w:val="0"/>
        <w:autoSpaceDN w:val="0"/>
        <w:adjustRightInd w:val="0"/>
        <w:spacing w:after="0" w:line="240" w:lineRule="auto"/>
        <w:jc w:val="both"/>
        <w:rPr>
          <w:rFonts w:ascii="Arial" w:hAnsi="Arial" w:cs="Arial"/>
          <w:sz w:val="23"/>
          <w:szCs w:val="23"/>
        </w:rPr>
      </w:pPr>
      <w:r>
        <w:rPr>
          <w:rFonts w:ascii="Arial" w:hAnsi="Arial" w:cs="Arial"/>
          <w:sz w:val="23"/>
          <w:szCs w:val="23"/>
        </w:rPr>
        <w:t>T</w:t>
      </w:r>
      <w:r w:rsidR="00315DF9">
        <w:rPr>
          <w:rFonts w:ascii="Arial" w:hAnsi="Arial" w:cs="Arial"/>
          <w:sz w:val="23"/>
          <w:szCs w:val="23"/>
        </w:rPr>
        <w:t>ale categoria di spese comprende le spese generali</w:t>
      </w:r>
      <w:r w:rsidR="00ED33D2">
        <w:rPr>
          <w:rFonts w:ascii="Arial" w:hAnsi="Arial" w:cs="Arial"/>
          <w:sz w:val="23"/>
          <w:szCs w:val="23"/>
        </w:rPr>
        <w:t xml:space="preserve"> </w:t>
      </w:r>
      <w:r w:rsidR="00315DF9">
        <w:rPr>
          <w:rFonts w:ascii="Arial" w:hAnsi="Arial" w:cs="Arial"/>
          <w:sz w:val="23"/>
          <w:szCs w:val="23"/>
        </w:rPr>
        <w:t>direttamente imputabili al progetto di ricerca industriale e sviluppo sperimentale.</w:t>
      </w:r>
    </w:p>
    <w:sectPr w:rsidR="00315DF9" w:rsidSect="00C73B46">
      <w:head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1134" w14:textId="77777777" w:rsidR="005F22DA" w:rsidRDefault="005F22DA" w:rsidP="009F3577">
      <w:pPr>
        <w:spacing w:after="0" w:line="240" w:lineRule="auto"/>
      </w:pPr>
      <w:r>
        <w:separator/>
      </w:r>
    </w:p>
  </w:endnote>
  <w:endnote w:type="continuationSeparator" w:id="0">
    <w:p w14:paraId="6F2438B4" w14:textId="77777777" w:rsidR="005F22DA" w:rsidRDefault="005F22DA" w:rsidP="009F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D575" w14:textId="77777777" w:rsidR="005F22DA" w:rsidRDefault="005F22DA" w:rsidP="009F3577">
      <w:pPr>
        <w:spacing w:after="0" w:line="240" w:lineRule="auto"/>
      </w:pPr>
      <w:r>
        <w:separator/>
      </w:r>
    </w:p>
  </w:footnote>
  <w:footnote w:type="continuationSeparator" w:id="0">
    <w:p w14:paraId="5271EB52" w14:textId="77777777" w:rsidR="005F22DA" w:rsidRDefault="005F22DA" w:rsidP="009F3577">
      <w:pPr>
        <w:spacing w:after="0" w:line="240" w:lineRule="auto"/>
      </w:pPr>
      <w:r>
        <w:continuationSeparator/>
      </w:r>
    </w:p>
  </w:footnote>
  <w:footnote w:id="1">
    <w:p w14:paraId="6897D864" w14:textId="215E706F" w:rsidR="0000712E" w:rsidRPr="00475F8C" w:rsidRDefault="0000712E" w:rsidP="00475F8C">
      <w:pPr>
        <w:autoSpaceDE w:val="0"/>
        <w:autoSpaceDN w:val="0"/>
        <w:adjustRightInd w:val="0"/>
        <w:jc w:val="both"/>
        <w:rPr>
          <w:rFonts w:ascii="Arial" w:hAnsi="Arial" w:cs="Arial"/>
          <w:sz w:val="18"/>
          <w:szCs w:val="18"/>
        </w:rPr>
      </w:pPr>
      <w:r>
        <w:rPr>
          <w:rStyle w:val="Rimandonotaapidipagina"/>
        </w:rPr>
        <w:footnoteRef/>
      </w:r>
      <w:r>
        <w:t xml:space="preserve"> </w:t>
      </w:r>
      <w:r w:rsidRPr="0046160F">
        <w:rPr>
          <w:rFonts w:ascii="Arial" w:hAnsi="Arial" w:cs="Arial"/>
          <w:sz w:val="18"/>
          <w:szCs w:val="18"/>
        </w:rPr>
        <w:t>Personale effettivamente operativo nell’unità locale di svolgimento del progetto, come risultante dalle dichiarazioni obbligatorie</w:t>
      </w:r>
      <w:r>
        <w:rPr>
          <w:rFonts w:ascii="Arial" w:hAnsi="Arial" w:cs="Arial"/>
          <w:sz w:val="18"/>
          <w:szCs w:val="18"/>
        </w:rPr>
        <w:t xml:space="preserve"> </w:t>
      </w:r>
      <w:r w:rsidR="00475F8C">
        <w:rPr>
          <w:rFonts w:ascii="Arial" w:hAnsi="Arial" w:cs="Arial"/>
          <w:sz w:val="18"/>
          <w:szCs w:val="18"/>
        </w:rPr>
        <w:t>INPS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E1B" w14:textId="77777777" w:rsidR="009F3577" w:rsidRPr="009F3577" w:rsidRDefault="009F3577" w:rsidP="009F3577">
    <w:pPr>
      <w:pStyle w:val="Intestazione"/>
      <w:jc w:val="right"/>
      <w:rPr>
        <w:rFonts w:ascii="Arial" w:hAnsi="Arial" w:cs="Arial"/>
        <w:b/>
        <w:i/>
      </w:rPr>
    </w:pPr>
    <w:r w:rsidRPr="009F3577">
      <w:rPr>
        <w:rFonts w:ascii="Arial" w:hAnsi="Arial" w:cs="Arial"/>
        <w:b/>
        <w:i/>
      </w:rPr>
      <w:t>Allegato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2BD"/>
    <w:multiLevelType w:val="hybridMultilevel"/>
    <w:tmpl w:val="36D02B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5AD60CB9"/>
    <w:multiLevelType w:val="hybridMultilevel"/>
    <w:tmpl w:val="183027D0"/>
    <w:lvl w:ilvl="0" w:tplc="0324DADE">
      <w:start w:val="2"/>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255894975">
    <w:abstractNumId w:val="1"/>
  </w:num>
  <w:num w:numId="2" w16cid:durableId="82577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4B"/>
    <w:rsid w:val="0000712E"/>
    <w:rsid w:val="00024250"/>
    <w:rsid w:val="000A6BDB"/>
    <w:rsid w:val="000C5A54"/>
    <w:rsid w:val="000C6BFA"/>
    <w:rsid w:val="000C7EBE"/>
    <w:rsid w:val="001258AE"/>
    <w:rsid w:val="00156951"/>
    <w:rsid w:val="00161A1B"/>
    <w:rsid w:val="00164B2C"/>
    <w:rsid w:val="001D717C"/>
    <w:rsid w:val="001E25F3"/>
    <w:rsid w:val="00203759"/>
    <w:rsid w:val="00234451"/>
    <w:rsid w:val="00311F54"/>
    <w:rsid w:val="00315DF9"/>
    <w:rsid w:val="003634BA"/>
    <w:rsid w:val="00386417"/>
    <w:rsid w:val="003D18CF"/>
    <w:rsid w:val="00451985"/>
    <w:rsid w:val="0047229A"/>
    <w:rsid w:val="0047414B"/>
    <w:rsid w:val="00475F8C"/>
    <w:rsid w:val="00480D84"/>
    <w:rsid w:val="004C3138"/>
    <w:rsid w:val="004D236A"/>
    <w:rsid w:val="005812CC"/>
    <w:rsid w:val="005E1F83"/>
    <w:rsid w:val="005F22DA"/>
    <w:rsid w:val="0063532C"/>
    <w:rsid w:val="00691A76"/>
    <w:rsid w:val="006B0671"/>
    <w:rsid w:val="006B392A"/>
    <w:rsid w:val="006C369E"/>
    <w:rsid w:val="006D562A"/>
    <w:rsid w:val="0073550F"/>
    <w:rsid w:val="007D0C9A"/>
    <w:rsid w:val="00802261"/>
    <w:rsid w:val="00803FC7"/>
    <w:rsid w:val="00853A25"/>
    <w:rsid w:val="008802BE"/>
    <w:rsid w:val="00964D8D"/>
    <w:rsid w:val="009D008E"/>
    <w:rsid w:val="009D7946"/>
    <w:rsid w:val="009F0B12"/>
    <w:rsid w:val="009F3577"/>
    <w:rsid w:val="00A17135"/>
    <w:rsid w:val="00AB4524"/>
    <w:rsid w:val="00AF11E8"/>
    <w:rsid w:val="00B84F3D"/>
    <w:rsid w:val="00BE2BF6"/>
    <w:rsid w:val="00C225DA"/>
    <w:rsid w:val="00C340B3"/>
    <w:rsid w:val="00C73B46"/>
    <w:rsid w:val="00C84452"/>
    <w:rsid w:val="00CE538A"/>
    <w:rsid w:val="00D22E79"/>
    <w:rsid w:val="00D652A5"/>
    <w:rsid w:val="00D97F2B"/>
    <w:rsid w:val="00DE13A7"/>
    <w:rsid w:val="00E31E70"/>
    <w:rsid w:val="00E51FCA"/>
    <w:rsid w:val="00E52C12"/>
    <w:rsid w:val="00E57C59"/>
    <w:rsid w:val="00E806C0"/>
    <w:rsid w:val="00E960CF"/>
    <w:rsid w:val="00EB6169"/>
    <w:rsid w:val="00ED33D2"/>
    <w:rsid w:val="00F34076"/>
    <w:rsid w:val="00F36952"/>
    <w:rsid w:val="00F504F4"/>
    <w:rsid w:val="00F94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B01A2"/>
  <w15:chartTrackingRefBased/>
  <w15:docId w15:val="{ED5EF01E-9C65-4F75-AABC-31F26D4C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35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577"/>
  </w:style>
  <w:style w:type="paragraph" w:styleId="Pidipagina">
    <w:name w:val="footer"/>
    <w:basedOn w:val="Normale"/>
    <w:link w:val="PidipaginaCarattere"/>
    <w:uiPriority w:val="99"/>
    <w:unhideWhenUsed/>
    <w:rsid w:val="009F35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577"/>
  </w:style>
  <w:style w:type="paragraph" w:customStyle="1" w:styleId="Default">
    <w:name w:val="Default"/>
    <w:rsid w:val="00E31E70"/>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0C5A54"/>
    <w:rPr>
      <w:sz w:val="16"/>
      <w:szCs w:val="16"/>
    </w:rPr>
  </w:style>
  <w:style w:type="paragraph" w:styleId="Testocommento">
    <w:name w:val="annotation text"/>
    <w:basedOn w:val="Normale"/>
    <w:link w:val="TestocommentoCarattere"/>
    <w:uiPriority w:val="99"/>
    <w:semiHidden/>
    <w:unhideWhenUsed/>
    <w:rsid w:val="000C5A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5A54"/>
    <w:rPr>
      <w:sz w:val="20"/>
      <w:szCs w:val="20"/>
    </w:rPr>
  </w:style>
  <w:style w:type="paragraph" w:styleId="Soggettocommento">
    <w:name w:val="annotation subject"/>
    <w:basedOn w:val="Testocommento"/>
    <w:next w:val="Testocommento"/>
    <w:link w:val="SoggettocommentoCarattere"/>
    <w:uiPriority w:val="99"/>
    <w:semiHidden/>
    <w:unhideWhenUsed/>
    <w:rsid w:val="000C5A54"/>
    <w:rPr>
      <w:b/>
      <w:bCs/>
    </w:rPr>
  </w:style>
  <w:style w:type="character" w:customStyle="1" w:styleId="SoggettocommentoCarattere">
    <w:name w:val="Soggetto commento Carattere"/>
    <w:basedOn w:val="TestocommentoCarattere"/>
    <w:link w:val="Soggettocommento"/>
    <w:uiPriority w:val="99"/>
    <w:semiHidden/>
    <w:rsid w:val="000C5A54"/>
    <w:rPr>
      <w:b/>
      <w:bCs/>
      <w:sz w:val="20"/>
      <w:szCs w:val="20"/>
    </w:rPr>
  </w:style>
  <w:style w:type="paragraph" w:styleId="Testofumetto">
    <w:name w:val="Balloon Text"/>
    <w:basedOn w:val="Normale"/>
    <w:link w:val="TestofumettoCarattere"/>
    <w:uiPriority w:val="99"/>
    <w:semiHidden/>
    <w:unhideWhenUsed/>
    <w:rsid w:val="000C5A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A54"/>
    <w:rPr>
      <w:rFonts w:ascii="Segoe UI" w:hAnsi="Segoe UI" w:cs="Segoe UI"/>
      <w:sz w:val="18"/>
      <w:szCs w:val="18"/>
    </w:rPr>
  </w:style>
  <w:style w:type="paragraph" w:styleId="Paragrafoelenco">
    <w:name w:val="List Paragraph"/>
    <w:basedOn w:val="Normale"/>
    <w:uiPriority w:val="34"/>
    <w:qFormat/>
    <w:rsid w:val="00451985"/>
    <w:pPr>
      <w:ind w:left="720"/>
      <w:contextualSpacing/>
    </w:pPr>
  </w:style>
  <w:style w:type="paragraph" w:styleId="Testonotadichiusura">
    <w:name w:val="endnote text"/>
    <w:basedOn w:val="Normale"/>
    <w:link w:val="TestonotadichiusuraCarattere"/>
    <w:uiPriority w:val="99"/>
    <w:semiHidden/>
    <w:unhideWhenUsed/>
    <w:rsid w:val="0000712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0712E"/>
    <w:rPr>
      <w:sz w:val="20"/>
      <w:szCs w:val="20"/>
    </w:rPr>
  </w:style>
  <w:style w:type="character" w:styleId="Rimandonotadichiusura">
    <w:name w:val="endnote reference"/>
    <w:basedOn w:val="Carpredefinitoparagrafo"/>
    <w:uiPriority w:val="99"/>
    <w:semiHidden/>
    <w:unhideWhenUsed/>
    <w:rsid w:val="0000712E"/>
    <w:rPr>
      <w:vertAlign w:val="superscript"/>
    </w:rPr>
  </w:style>
  <w:style w:type="paragraph" w:styleId="Testonotaapidipagina">
    <w:name w:val="footnote text"/>
    <w:basedOn w:val="Normale"/>
    <w:link w:val="TestonotaapidipaginaCarattere"/>
    <w:uiPriority w:val="99"/>
    <w:semiHidden/>
    <w:unhideWhenUsed/>
    <w:rsid w:val="000071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712E"/>
    <w:rPr>
      <w:sz w:val="20"/>
      <w:szCs w:val="20"/>
    </w:rPr>
  </w:style>
  <w:style w:type="character" w:styleId="Rimandonotaapidipagina">
    <w:name w:val="footnote reference"/>
    <w:basedOn w:val="Carpredefinitoparagrafo"/>
    <w:semiHidden/>
    <w:unhideWhenUsed/>
    <w:rsid w:val="0000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20FE-9152-4709-BC6D-A031D6F7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1905</Words>
  <Characters>10862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Tessadri</dc:creator>
  <cp:keywords/>
  <dc:description/>
  <cp:lastModifiedBy>massoli</cp:lastModifiedBy>
  <cp:revision>27</cp:revision>
  <dcterms:created xsi:type="dcterms:W3CDTF">2020-11-25T16:24:00Z</dcterms:created>
  <dcterms:modified xsi:type="dcterms:W3CDTF">2023-09-26T08:49:00Z</dcterms:modified>
</cp:coreProperties>
</file>