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37A3" w14:textId="77777777" w:rsidR="004F6E03" w:rsidRDefault="004F6E03" w:rsidP="004F6E03">
      <w:pPr>
        <w:pStyle w:val="Corpotesto"/>
        <w:spacing w:before="70" w:line="252" w:lineRule="auto"/>
        <w:jc w:val="both"/>
        <w:rPr>
          <w:rFonts w:ascii="Arial" w:hAnsi="Arial" w:cs="Arial"/>
        </w:rPr>
      </w:pPr>
    </w:p>
    <w:p w14:paraId="4EB85E73" w14:textId="77777777" w:rsidR="004F6E03" w:rsidRPr="008B2D3B" w:rsidRDefault="004F6E03" w:rsidP="004F6E03">
      <w:pPr>
        <w:keepNext/>
        <w:keepLines/>
        <w:spacing w:before="40"/>
        <w:outlineLvl w:val="6"/>
        <w:rPr>
          <w:rFonts w:ascii="Arial" w:eastAsiaTheme="majorEastAsia" w:hAnsi="Arial" w:cs="Arial"/>
          <w:i/>
          <w:iCs/>
          <w:color w:val="1F3763" w:themeColor="accent1" w:themeShade="7F"/>
        </w:rPr>
      </w:pP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4384" behindDoc="0" locked="0" layoutInCell="1" allowOverlap="1" wp14:anchorId="699D3907" wp14:editId="4FA1A127">
            <wp:simplePos x="0" y="0"/>
            <wp:positionH relativeFrom="column">
              <wp:posOffset>1285875</wp:posOffset>
            </wp:positionH>
            <wp:positionV relativeFrom="paragraph">
              <wp:posOffset>99060</wp:posOffset>
            </wp:positionV>
            <wp:extent cx="91440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150" y="21065"/>
                <wp:lineTo x="21150" y="0"/>
                <wp:lineTo x="0" y="0"/>
              </wp:wrapPolygon>
            </wp:wrapThrough>
            <wp:docPr id="108710880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2336" behindDoc="0" locked="0" layoutInCell="1" allowOverlap="1" wp14:anchorId="06B02652" wp14:editId="2EBAC067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087120" cy="954405"/>
            <wp:effectExtent l="0" t="0" r="0" b="0"/>
            <wp:wrapNone/>
            <wp:docPr id="2038289051" name="Immagine 9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1312" behindDoc="0" locked="0" layoutInCell="1" allowOverlap="1" wp14:anchorId="4D73F420" wp14:editId="74695F1E">
            <wp:simplePos x="0" y="0"/>
            <wp:positionH relativeFrom="column">
              <wp:posOffset>3947160</wp:posOffset>
            </wp:positionH>
            <wp:positionV relativeFrom="paragraph">
              <wp:posOffset>76200</wp:posOffset>
            </wp:positionV>
            <wp:extent cx="844550" cy="844550"/>
            <wp:effectExtent l="0" t="0" r="0" b="0"/>
            <wp:wrapNone/>
            <wp:docPr id="1628413114" name="Immagine 8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1905" distL="114300" distR="117475" simplePos="0" relativeHeight="251660288" behindDoc="0" locked="0" layoutInCell="1" allowOverlap="1" wp14:anchorId="0972E688" wp14:editId="5ED5567C">
            <wp:simplePos x="0" y="0"/>
            <wp:positionH relativeFrom="margin">
              <wp:posOffset>2733040</wp:posOffset>
            </wp:positionH>
            <wp:positionV relativeFrom="paragraph">
              <wp:posOffset>158115</wp:posOffset>
            </wp:positionV>
            <wp:extent cx="676910" cy="763270"/>
            <wp:effectExtent l="0" t="0" r="8890" b="0"/>
            <wp:wrapNone/>
            <wp:docPr id="797465103" name="Immagine 7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3360" behindDoc="0" locked="0" layoutInCell="1" allowOverlap="1" wp14:anchorId="37DF0D65" wp14:editId="0311B562">
            <wp:simplePos x="0" y="0"/>
            <wp:positionH relativeFrom="column">
              <wp:posOffset>173990</wp:posOffset>
            </wp:positionH>
            <wp:positionV relativeFrom="paragraph">
              <wp:posOffset>635</wp:posOffset>
            </wp:positionV>
            <wp:extent cx="668655" cy="860425"/>
            <wp:effectExtent l="0" t="0" r="0" b="0"/>
            <wp:wrapThrough wrapText="bothSides">
              <wp:wrapPolygon edited="0">
                <wp:start x="0" y="0"/>
                <wp:lineTo x="0" y="21042"/>
                <wp:lineTo x="20923" y="21042"/>
                <wp:lineTo x="20923" y="0"/>
                <wp:lineTo x="0" y="0"/>
              </wp:wrapPolygon>
            </wp:wrapThrough>
            <wp:docPr id="104935545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C53BF" w14:textId="77777777" w:rsidR="004F6E03" w:rsidRPr="008B2D3B" w:rsidRDefault="004F6E03" w:rsidP="004F6E03">
      <w:pPr>
        <w:ind w:left="113"/>
        <w:rPr>
          <w:rFonts w:ascii="Arial" w:eastAsia="Times New Roman" w:hAnsi="Arial" w:cs="Arial"/>
        </w:rPr>
      </w:pPr>
    </w:p>
    <w:p w14:paraId="7DF5846D" w14:textId="77777777" w:rsidR="004F6E03" w:rsidRPr="008B2D3B" w:rsidRDefault="004F6E03" w:rsidP="004F6E03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4EE632B9" w14:textId="77777777" w:rsidR="004F6E03" w:rsidRPr="008B2D3B" w:rsidRDefault="004F6E03" w:rsidP="004F6E03">
      <w:pPr>
        <w:ind w:right="27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7034B70D" w14:textId="77777777" w:rsidR="004F6E03" w:rsidRPr="008B2D3B" w:rsidRDefault="004F6E03" w:rsidP="004F6E03">
      <w:pPr>
        <w:ind w:right="27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315F5161" w14:textId="77777777" w:rsidR="004F6E03" w:rsidRPr="008B2D3B" w:rsidRDefault="004F6E03" w:rsidP="004F6E03">
      <w:pPr>
        <w:ind w:right="27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30C1C032" w14:textId="0EEA5CC3" w:rsidR="004F6E03" w:rsidRPr="00B83853" w:rsidRDefault="004F6E03" w:rsidP="004F6E03">
      <w:pPr>
        <w:ind w:right="405"/>
        <w:jc w:val="right"/>
        <w:rPr>
          <w:rFonts w:ascii="Arial" w:eastAsia="Times New Roman" w:hAnsi="Arial" w:cs="Arial"/>
          <w:b/>
          <w:i/>
          <w:sz w:val="24"/>
          <w:szCs w:val="24"/>
        </w:rPr>
      </w:pPr>
      <w:r w:rsidRPr="00B83853">
        <w:rPr>
          <w:rFonts w:ascii="Arial" w:eastAsia="Times New Roman" w:hAnsi="Arial" w:cs="Arial"/>
          <w:b/>
          <w:i/>
          <w:sz w:val="24"/>
          <w:szCs w:val="24"/>
        </w:rPr>
        <w:t xml:space="preserve">Allegato </w:t>
      </w:r>
      <w:r w:rsidR="00C34A4D">
        <w:rPr>
          <w:rFonts w:ascii="Arial" w:eastAsia="Times New Roman" w:hAnsi="Arial" w:cs="Arial"/>
          <w:b/>
          <w:i/>
          <w:sz w:val="24"/>
          <w:szCs w:val="24"/>
        </w:rPr>
        <w:t>4</w:t>
      </w:r>
    </w:p>
    <w:p w14:paraId="69CF8101" w14:textId="66A30275" w:rsidR="004F6E03" w:rsidRDefault="004F6E03" w:rsidP="00C34A4D">
      <w:pPr>
        <w:ind w:right="170"/>
        <w:jc w:val="right"/>
        <w:rPr>
          <w:rFonts w:ascii="Arial" w:eastAsia="Times New Roman" w:hAnsi="Arial" w:cs="Arial"/>
          <w:b/>
          <w:bCs/>
        </w:rPr>
      </w:pPr>
      <w:r w:rsidRPr="008B2D3B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683456" wp14:editId="306D362D">
                <wp:simplePos x="0" y="0"/>
                <wp:positionH relativeFrom="margin">
                  <wp:posOffset>133350</wp:posOffset>
                </wp:positionH>
                <wp:positionV relativeFrom="paragraph">
                  <wp:posOffset>171450</wp:posOffset>
                </wp:positionV>
                <wp:extent cx="6309360" cy="866775"/>
                <wp:effectExtent l="0" t="0" r="0" b="9525"/>
                <wp:wrapTopAndBottom/>
                <wp:docPr id="819495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866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6E898" w14:textId="77777777" w:rsidR="004F6E03" w:rsidRDefault="004F6E03" w:rsidP="004F6E03">
                            <w:pPr>
                              <w:ind w:left="1560" w:right="482" w:hanging="467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31B5EB9B" w14:textId="77777777" w:rsidR="004F6E03" w:rsidRPr="003B2418" w:rsidRDefault="004F6E03" w:rsidP="004F6E03">
                            <w:pPr>
                              <w:ind w:left="1560" w:right="482" w:hanging="467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pacing w:val="-58"/>
                                <w:sz w:val="24"/>
                              </w:rPr>
                            </w:pPr>
                            <w:r w:rsidRPr="003B2418"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</w:rPr>
                              <w:t>Direttrici di sviluppo s3 Umbria</w:t>
                            </w:r>
                          </w:p>
                          <w:p w14:paraId="2B1C71BA" w14:textId="0CBF5D01" w:rsidR="004F6E03" w:rsidRPr="007632CA" w:rsidRDefault="004F6E03" w:rsidP="004F6E03">
                            <w:pPr>
                              <w:ind w:left="142" w:right="482" w:firstLine="951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58"/>
                                <w:sz w:val="24"/>
                              </w:rPr>
                              <w:t xml:space="preserve">   </w:t>
                            </w:r>
                            <w:r w:rsidR="000F772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SMARTup 2024</w:t>
                            </w:r>
                          </w:p>
                          <w:p w14:paraId="7D43ACEE" w14:textId="77777777" w:rsidR="004F6E03" w:rsidRDefault="004F6E03" w:rsidP="004F6E03">
                            <w:pPr>
                              <w:ind w:left="709" w:right="706" w:firstLine="570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632C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Ai sensi della Deliberazione della Giunta Regionale n. 813 del 02/08/2023</w:t>
                            </w:r>
                          </w:p>
                          <w:p w14:paraId="50473068" w14:textId="770A9F34" w:rsidR="00C21B3F" w:rsidRPr="007632CA" w:rsidRDefault="00C21B3F" w:rsidP="004F6E03">
                            <w:pPr>
                              <w:ind w:left="709" w:right="706" w:firstLine="570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Aggiornata con D.G.R. n. 337 dell’11/04/2024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8345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0.5pt;margin-top:13.5pt;width:496.8pt;height:68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" fillcolor="#d9d9d9" stroked="f">
                <v:textbox inset="0,0,0,0">
                  <w:txbxContent>
                    <w:p w14:paraId="2A26E898" w14:textId="77777777" w:rsidR="004F6E03" w:rsidRDefault="004F6E03" w:rsidP="004F6E03">
                      <w:pPr>
                        <w:ind w:left="1560" w:right="482" w:hanging="467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31B5EB9B" w14:textId="77777777" w:rsidR="004F6E03" w:rsidRPr="003B2418" w:rsidRDefault="004F6E03" w:rsidP="004F6E03">
                      <w:pPr>
                        <w:ind w:left="1560" w:right="482" w:hanging="467"/>
                        <w:jc w:val="center"/>
                        <w:rPr>
                          <w:rFonts w:ascii="Arial" w:hAnsi="Arial" w:cs="Arial"/>
                          <w:b/>
                          <w:caps/>
                          <w:spacing w:val="-58"/>
                          <w:sz w:val="24"/>
                        </w:rPr>
                      </w:pPr>
                      <w:r w:rsidRPr="003B2418">
                        <w:rPr>
                          <w:rFonts w:ascii="Arial" w:hAnsi="Arial" w:cs="Arial"/>
                          <w:b/>
                          <w:caps/>
                          <w:sz w:val="24"/>
                        </w:rPr>
                        <w:t>Direttrici di sviluppo s3 Umbria</w:t>
                      </w:r>
                    </w:p>
                    <w:p w14:paraId="2B1C71BA" w14:textId="0CBF5D01" w:rsidR="004F6E03" w:rsidRPr="007632CA" w:rsidRDefault="004F6E03" w:rsidP="004F6E03">
                      <w:pPr>
                        <w:ind w:left="142" w:right="482" w:firstLine="951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58"/>
                          <w:sz w:val="24"/>
                        </w:rPr>
                        <w:t xml:space="preserve">   </w:t>
                      </w:r>
                      <w:r w:rsidR="000F7727">
                        <w:rPr>
                          <w:rFonts w:ascii="Arial" w:hAnsi="Arial" w:cs="Arial"/>
                          <w:b/>
                          <w:sz w:val="24"/>
                        </w:rPr>
                        <w:t>SMARTup 2024</w:t>
                      </w:r>
                    </w:p>
                    <w:p w14:paraId="7D43ACEE" w14:textId="77777777" w:rsidR="004F6E03" w:rsidRDefault="004F6E03" w:rsidP="004F6E03">
                      <w:pPr>
                        <w:ind w:left="709" w:right="706" w:firstLine="570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632C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Ai sensi della Deliberazione della Giunta Regionale n. 813 del 02/08/2023</w:t>
                      </w:r>
                    </w:p>
                    <w:p w14:paraId="50473068" w14:textId="770A9F34" w:rsidR="00C21B3F" w:rsidRPr="007632CA" w:rsidRDefault="00C21B3F" w:rsidP="004F6E03">
                      <w:pPr>
                        <w:ind w:left="709" w:right="706" w:firstLine="570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Aggiornata con D.G.R. n. 337 dell’11/04/2024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94E0CC" w14:textId="77777777" w:rsidR="004F6E03" w:rsidRPr="008B2D3B" w:rsidRDefault="004F6E03" w:rsidP="004F6E03">
      <w:pPr>
        <w:spacing w:before="120" w:after="120"/>
        <w:ind w:left="284"/>
        <w:jc w:val="center"/>
        <w:outlineLvl w:val="0"/>
        <w:rPr>
          <w:rFonts w:ascii="Arial" w:eastAsia="Times New Roman" w:hAnsi="Arial" w:cs="Arial"/>
          <w:b/>
          <w:bCs/>
        </w:rPr>
      </w:pPr>
      <w:r w:rsidRPr="008B2D3B">
        <w:rPr>
          <w:rFonts w:ascii="Arial" w:eastAsia="Times New Roman" w:hAnsi="Arial" w:cs="Arial"/>
          <w:b/>
          <w:bCs/>
        </w:rPr>
        <w:t>Indicare le direttrici di sviluppo S3 Umbria e relative traiettorie tecnologiche del progetto</w:t>
      </w:r>
    </w:p>
    <w:tbl>
      <w:tblPr>
        <w:tblStyle w:val="Grigliatabella"/>
        <w:tblW w:w="0" w:type="auto"/>
        <w:tblInd w:w="134" w:type="dxa"/>
        <w:tblLook w:val="04A0" w:firstRow="1" w:lastRow="0" w:firstColumn="1" w:lastColumn="0" w:noHBand="0" w:noVBand="1"/>
      </w:tblPr>
      <w:tblGrid>
        <w:gridCol w:w="9494"/>
      </w:tblGrid>
      <w:tr w:rsidR="004F6E03" w:rsidRPr="008B2D3B" w14:paraId="07978DE4" w14:textId="77777777" w:rsidTr="0092198D">
        <w:tc>
          <w:tcPr>
            <w:tcW w:w="9940" w:type="dxa"/>
          </w:tcPr>
          <w:p w14:paraId="6280DF5A" w14:textId="77777777" w:rsidR="004F6E03" w:rsidRPr="008B2D3B" w:rsidRDefault="004F6E03" w:rsidP="004F6E03">
            <w:pPr>
              <w:numPr>
                <w:ilvl w:val="0"/>
                <w:numId w:val="2"/>
              </w:numPr>
              <w:spacing w:before="35"/>
              <w:rPr>
                <w:rFonts w:ascii="Arial" w:hAnsi="Arial" w:cs="Arial"/>
                <w:b/>
                <w:sz w:val="26"/>
              </w:rPr>
            </w:pPr>
            <w:r w:rsidRPr="008B2D3B">
              <w:rPr>
                <w:rFonts w:ascii="Arial" w:hAnsi="Arial" w:cs="Arial"/>
                <w:b/>
                <w:color w:val="805F00"/>
                <w:sz w:val="26"/>
              </w:rPr>
              <w:t>DIRETTRICE</w:t>
            </w:r>
            <w:r w:rsidRPr="008B2D3B">
              <w:rPr>
                <w:rFonts w:ascii="Arial" w:hAnsi="Arial" w:cs="Arial"/>
                <w:b/>
                <w:color w:val="805F00"/>
                <w:spacing w:val="-4"/>
                <w:sz w:val="26"/>
              </w:rPr>
              <w:t xml:space="preserve"> </w:t>
            </w:r>
            <w:r w:rsidRPr="008B2D3B">
              <w:rPr>
                <w:rFonts w:ascii="Arial" w:hAnsi="Arial" w:cs="Arial"/>
                <w:b/>
                <w:color w:val="805F00"/>
                <w:sz w:val="26"/>
              </w:rPr>
              <w:t>BENESSERE:</w:t>
            </w:r>
            <w:r w:rsidRPr="008B2D3B">
              <w:rPr>
                <w:rFonts w:ascii="Arial" w:hAnsi="Arial" w:cs="Arial"/>
                <w:b/>
                <w:color w:val="805F00"/>
                <w:spacing w:val="-4"/>
                <w:sz w:val="26"/>
              </w:rPr>
              <w:t xml:space="preserve"> </w:t>
            </w:r>
            <w:r w:rsidRPr="008B2D3B">
              <w:rPr>
                <w:rFonts w:ascii="Arial" w:hAnsi="Arial" w:cs="Arial"/>
                <w:b/>
                <w:color w:val="805F00"/>
                <w:sz w:val="26"/>
              </w:rPr>
              <w:t>TRAIETTORIE</w:t>
            </w:r>
          </w:p>
          <w:p w14:paraId="05057975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digitali in ambito medico, biotecnologie, bioinformatica e sviluppo farmaceutico</w:t>
            </w:r>
          </w:p>
          <w:p w14:paraId="3E113759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multidisciplinari a supporto dell’invecchiamento per l’invecchiamento attivo, assistenza domiciliare e disabilità</w:t>
            </w:r>
          </w:p>
          <w:p w14:paraId="358533DD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Soluzioni e tecnologie a supporto della ricerca e della diagnostica avanzata, e-health,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medical</w:t>
            </w:r>
            <w:proofErr w:type="spellEnd"/>
            <w:r w:rsidRPr="004F6E03">
              <w:rPr>
                <w:rFonts w:ascii="Arial" w:hAnsi="Arial" w:cs="Arial"/>
                <w:lang w:val="it-IT"/>
              </w:rPr>
              <w:t xml:space="preserve"> devices e   mininvasività</w:t>
            </w:r>
          </w:p>
          <w:p w14:paraId="522379A7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Medicina rigenerativa, predittiva e personalizzata. Soluzioni a supporto delle scienze omiche</w:t>
            </w:r>
          </w:p>
          <w:p w14:paraId="35FEE9BD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Soluzioni e tecnologie per la nutrizione, Nutraceutica, nutrigenomica e alimenti funzionali</w:t>
            </w:r>
          </w:p>
          <w:p w14:paraId="0F59CAFC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e tecnologie per il packaging e la tracciabilità e la sicurezza delle produzioni alimentari</w:t>
            </w:r>
          </w:p>
          <w:p w14:paraId="02CCD86D" w14:textId="77777777" w:rsidR="004F6E03" w:rsidRPr="00617060" w:rsidRDefault="004F6E03" w:rsidP="0092198D">
            <w:pPr>
              <w:spacing w:before="12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"/>
                <w:szCs w:val="2"/>
                <w:lang w:val="it-IT"/>
              </w:rPr>
            </w:pPr>
          </w:p>
        </w:tc>
      </w:tr>
      <w:tr w:rsidR="004F6E03" w:rsidRPr="008B2D3B" w14:paraId="5F776F4D" w14:textId="77777777" w:rsidTr="0092198D">
        <w:tc>
          <w:tcPr>
            <w:tcW w:w="9940" w:type="dxa"/>
          </w:tcPr>
          <w:p w14:paraId="5C2B1176" w14:textId="77777777" w:rsidR="004F6E03" w:rsidRPr="008B2D3B" w:rsidRDefault="004F6E03" w:rsidP="004F6E03">
            <w:pPr>
              <w:numPr>
                <w:ilvl w:val="0"/>
                <w:numId w:val="2"/>
              </w:numPr>
              <w:spacing w:before="35"/>
              <w:rPr>
                <w:rFonts w:ascii="Arial" w:hAnsi="Arial" w:cs="Arial"/>
                <w:b/>
                <w:color w:val="805F00"/>
                <w:sz w:val="26"/>
              </w:rPr>
            </w:pPr>
            <w:r w:rsidRPr="008B2D3B">
              <w:rPr>
                <w:rFonts w:ascii="Arial" w:hAnsi="Arial" w:cs="Arial"/>
                <w:b/>
                <w:color w:val="805F00"/>
                <w:sz w:val="26"/>
              </w:rPr>
              <w:t>DIRETTRICE INTELLIGENZA: TRAIETTORIE</w:t>
            </w:r>
          </w:p>
          <w:p w14:paraId="7B49BE16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avanzati evolutivi e adattivi per la produzione personalizzata</w:t>
            </w:r>
          </w:p>
          <w:p w14:paraId="570E47EE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di produzione innovativi, evolutivi e ad alta efficienza Processi produttivi innovativi ad alta efficienza e per la sostenibilità industriale</w:t>
            </w:r>
          </w:p>
          <w:p w14:paraId="59EA4BB4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Tecnologie, processi e sistemi per l'aerospazio</w:t>
            </w:r>
          </w:p>
          <w:p w14:paraId="0C6714DB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Tecnologie per la sensoristica distribuita: sistemi elettronici “embedded”, reti di sensori intelligenti, internet of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things</w:t>
            </w:r>
            <w:proofErr w:type="spellEnd"/>
          </w:p>
          <w:p w14:paraId="6997CE94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e processi per acquisizione, gestione, analisi e utilizzo dei dati</w:t>
            </w:r>
          </w:p>
          <w:p w14:paraId="7FDCE65E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per la diffusione della cultura digitale nelle imprese e per la partecipazione attiva della cittadinanza</w:t>
            </w:r>
          </w:p>
          <w:p w14:paraId="587EA5D9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Tecnologie per le smart cities e le smart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destinations</w:t>
            </w:r>
            <w:proofErr w:type="spellEnd"/>
          </w:p>
          <w:p w14:paraId="0DAD5FDC" w14:textId="77777777" w:rsid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Sistemi e tecnologie per la diffusione della web economy, della data economy, di supercalcolo e intelligenza artificiale, cybersecurity, blockchain, IOT, cloud e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edge</w:t>
            </w:r>
            <w:proofErr w:type="spellEnd"/>
            <w:r w:rsidRPr="004F6E03">
              <w:rPr>
                <w:rFonts w:ascii="Arial" w:hAnsi="Arial" w:cs="Arial"/>
                <w:lang w:val="it-IT"/>
              </w:rPr>
              <w:t xml:space="preserve"> computing, 5G</w:t>
            </w:r>
          </w:p>
          <w:p w14:paraId="52E67C2E" w14:textId="571F26A8" w:rsidR="008D50AA" w:rsidRPr="004F6E03" w:rsidRDefault="008D50AA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8D50AA">
              <w:rPr>
                <w:rFonts w:ascii="Arial" w:hAnsi="Arial" w:cs="Arial"/>
                <w:lang w:val="it-IT"/>
              </w:rPr>
              <w:t>Tecnologie e processi per nano e micro materiali</w:t>
            </w:r>
          </w:p>
          <w:p w14:paraId="4F432F39" w14:textId="77777777" w:rsidR="004F6E03" w:rsidRPr="00617060" w:rsidRDefault="004F6E03" w:rsidP="0092198D">
            <w:pPr>
              <w:spacing w:before="12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"/>
                <w:szCs w:val="2"/>
                <w:lang w:val="it-IT"/>
              </w:rPr>
            </w:pPr>
          </w:p>
        </w:tc>
      </w:tr>
      <w:tr w:rsidR="004F6E03" w:rsidRPr="008B2D3B" w14:paraId="4A00F7D1" w14:textId="77777777" w:rsidTr="0092198D">
        <w:tc>
          <w:tcPr>
            <w:tcW w:w="9940" w:type="dxa"/>
          </w:tcPr>
          <w:p w14:paraId="03F5D5C3" w14:textId="77777777" w:rsidR="004F6E03" w:rsidRPr="008B2D3B" w:rsidRDefault="004F6E03" w:rsidP="004F6E03">
            <w:pPr>
              <w:numPr>
                <w:ilvl w:val="0"/>
                <w:numId w:val="2"/>
              </w:numPr>
              <w:spacing w:before="35"/>
              <w:rPr>
                <w:rFonts w:ascii="Arial" w:hAnsi="Arial" w:cs="Arial"/>
                <w:b/>
                <w:color w:val="805F00"/>
                <w:sz w:val="26"/>
              </w:rPr>
            </w:pPr>
            <w:r w:rsidRPr="008B2D3B">
              <w:rPr>
                <w:rFonts w:ascii="Arial" w:hAnsi="Arial" w:cs="Arial"/>
                <w:b/>
                <w:color w:val="805F00"/>
                <w:sz w:val="26"/>
              </w:rPr>
              <w:t>DIRETTRICE SOSTENIBILITA’ E CIRCOLARITA’: TRAIETTORIE</w:t>
            </w:r>
          </w:p>
          <w:p w14:paraId="091645D4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tecnologie e prodotti per la sostenibilità ed economia e bioeconomia circolare</w:t>
            </w:r>
          </w:p>
          <w:p w14:paraId="36817B08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Tecnologie energetiche innovative e per le fonti rinnovabili Tecnologie per le smart 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grid</w:t>
            </w:r>
            <w:proofErr w:type="spellEnd"/>
            <w:r w:rsidRPr="004F6E03">
              <w:rPr>
                <w:rFonts w:ascii="Arial" w:hAnsi="Arial" w:cs="Arial"/>
                <w:lang w:val="it-IT"/>
              </w:rPr>
              <w:t>, le fonti rinnovabili e la generazione distribuita</w:t>
            </w:r>
          </w:p>
          <w:p w14:paraId="2059B168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per l’efficientamento energetico e l’accumulo energetico</w:t>
            </w:r>
          </w:p>
          <w:p w14:paraId="2BF7B1E8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Soluzioni e tecnologie per la produzione, distribuzione, utilizzo dell'idrogeno</w:t>
            </w:r>
          </w:p>
          <w:p w14:paraId="5870E3ED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 xml:space="preserve">Soluzioni e tecnologie per riciclo, riutilizzo e re-manufacturing di materiali e </w:t>
            </w:r>
            <w:r w:rsidRPr="004F6E03">
              <w:rPr>
                <w:rFonts w:ascii="Arial" w:hAnsi="Arial" w:cs="Arial"/>
                <w:lang w:val="it-IT"/>
              </w:rPr>
              <w:lastRenderedPageBreak/>
              <w:t>componenti, ottimizzazione della chiusura dei cicli</w:t>
            </w:r>
          </w:p>
          <w:p w14:paraId="18335C55" w14:textId="77777777" w:rsidR="004F6E03" w:rsidRDefault="004F6E03" w:rsidP="00617060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Soluzioni e tecnologie per la nutrizione, Nutraceutica, nutrigenomica e alimenti funzionali</w:t>
            </w:r>
          </w:p>
          <w:p w14:paraId="60B53A88" w14:textId="2247D81E" w:rsidR="008D50AA" w:rsidRDefault="008D50AA" w:rsidP="00617060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8D50AA">
              <w:rPr>
                <w:rFonts w:ascii="Arial" w:hAnsi="Arial" w:cs="Arial"/>
                <w:lang w:val="it-IT"/>
              </w:rPr>
              <w:t>Tecnologie e processi per biomateriali</w:t>
            </w:r>
          </w:p>
          <w:p w14:paraId="50CC55B6" w14:textId="698E4F26" w:rsidR="00617060" w:rsidRPr="00617060" w:rsidRDefault="00617060" w:rsidP="00617060">
            <w:pPr>
              <w:tabs>
                <w:tab w:val="left" w:pos="1276"/>
              </w:tabs>
              <w:ind w:left="1134"/>
              <w:rPr>
                <w:rFonts w:ascii="Arial" w:hAnsi="Arial" w:cs="Arial"/>
                <w:sz w:val="8"/>
                <w:szCs w:val="8"/>
                <w:lang w:val="it-IT"/>
              </w:rPr>
            </w:pPr>
          </w:p>
        </w:tc>
      </w:tr>
    </w:tbl>
    <w:p w14:paraId="0569F862" w14:textId="77777777" w:rsidR="00617060" w:rsidRDefault="00617060"/>
    <w:p w14:paraId="0765726F" w14:textId="77777777" w:rsidR="00617060" w:rsidRDefault="00617060"/>
    <w:p w14:paraId="13447600" w14:textId="77777777" w:rsidR="00617060" w:rsidRDefault="00617060"/>
    <w:p w14:paraId="07C51B5C" w14:textId="77777777" w:rsidR="00617060" w:rsidRDefault="00617060"/>
    <w:tbl>
      <w:tblPr>
        <w:tblStyle w:val="Grigliatabella"/>
        <w:tblW w:w="0" w:type="auto"/>
        <w:tblInd w:w="134" w:type="dxa"/>
        <w:tblLook w:val="04A0" w:firstRow="1" w:lastRow="0" w:firstColumn="1" w:lastColumn="0" w:noHBand="0" w:noVBand="1"/>
      </w:tblPr>
      <w:tblGrid>
        <w:gridCol w:w="9494"/>
      </w:tblGrid>
      <w:tr w:rsidR="004F6E03" w:rsidRPr="008B2D3B" w14:paraId="2D5873F6" w14:textId="77777777" w:rsidTr="0092198D">
        <w:tc>
          <w:tcPr>
            <w:tcW w:w="9940" w:type="dxa"/>
          </w:tcPr>
          <w:p w14:paraId="222FD875" w14:textId="77777777" w:rsidR="004F6E03" w:rsidRPr="008B2D3B" w:rsidRDefault="004F6E03" w:rsidP="004F6E03">
            <w:pPr>
              <w:numPr>
                <w:ilvl w:val="0"/>
                <w:numId w:val="2"/>
              </w:numPr>
              <w:spacing w:before="35"/>
              <w:rPr>
                <w:rFonts w:ascii="Arial" w:hAnsi="Arial" w:cs="Arial"/>
                <w:b/>
                <w:color w:val="805F00"/>
                <w:sz w:val="26"/>
              </w:rPr>
            </w:pPr>
            <w:r w:rsidRPr="008B2D3B">
              <w:rPr>
                <w:rFonts w:ascii="Arial" w:hAnsi="Arial" w:cs="Arial"/>
                <w:b/>
                <w:color w:val="805F00"/>
                <w:sz w:val="26"/>
              </w:rPr>
              <w:t>DIRETTRICE CREATIVITA’: TRAIETTORIE</w:t>
            </w:r>
          </w:p>
          <w:p w14:paraId="208FB794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Sistemi e applicazioni per il turismo, la fruizione della cultura e l’attrattività del Made in Italy</w:t>
            </w:r>
          </w:p>
          <w:p w14:paraId="44826FA6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e applicazioni per la conservazione, gestione e valorizzazione dei beni culturali, artistici e paesaggistici</w:t>
            </w:r>
          </w:p>
          <w:p w14:paraId="5B0206B3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per il design evoluto e l’artigianato digitale</w:t>
            </w:r>
          </w:p>
          <w:p w14:paraId="77C7E13B" w14:textId="77777777" w:rsidR="004F6E03" w:rsidRPr="004F6E03" w:rsidRDefault="004F6E03" w:rsidP="004F6E03">
            <w:pPr>
              <w:numPr>
                <w:ilvl w:val="0"/>
                <w:numId w:val="1"/>
              </w:numPr>
              <w:tabs>
                <w:tab w:val="left" w:pos="1276"/>
              </w:tabs>
              <w:ind w:left="1134" w:hanging="357"/>
              <w:rPr>
                <w:rFonts w:ascii="Arial" w:hAnsi="Arial" w:cs="Arial"/>
                <w:lang w:val="it-IT"/>
              </w:rPr>
            </w:pPr>
            <w:r w:rsidRPr="004F6E03">
              <w:rPr>
                <w:rFonts w:ascii="Arial" w:hAnsi="Arial" w:cs="Arial"/>
                <w:lang w:val="it-IT"/>
              </w:rPr>
              <w:t>Tecnologie per le produzioni audio-video, gaming e editoria digitale ed e-</w:t>
            </w:r>
            <w:proofErr w:type="spellStart"/>
            <w:r w:rsidRPr="004F6E03">
              <w:rPr>
                <w:rFonts w:ascii="Arial" w:hAnsi="Arial" w:cs="Arial"/>
                <w:lang w:val="it-IT"/>
              </w:rPr>
              <w:t>sports</w:t>
            </w:r>
            <w:proofErr w:type="spellEnd"/>
          </w:p>
          <w:p w14:paraId="4A189D54" w14:textId="77777777" w:rsidR="004F6E03" w:rsidRPr="004F6E03" w:rsidRDefault="004F6E03" w:rsidP="0092198D">
            <w:pPr>
              <w:spacing w:before="12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5E901D4C" w14:textId="77777777" w:rsidR="00C34A4D" w:rsidRDefault="00C34A4D" w:rsidP="00C34A4D">
      <w:pPr>
        <w:ind w:left="134"/>
        <w:rPr>
          <w:rFonts w:ascii="Arial" w:eastAsia="Times New Roman" w:hAnsi="Arial" w:cs="Arial"/>
          <w:sz w:val="20"/>
          <w:szCs w:val="20"/>
        </w:rPr>
      </w:pPr>
    </w:p>
    <w:p w14:paraId="56448A68" w14:textId="77777777" w:rsidR="00C34A4D" w:rsidRDefault="00C34A4D" w:rsidP="00C34A4D">
      <w:pPr>
        <w:ind w:left="134"/>
        <w:rPr>
          <w:rFonts w:ascii="Arial" w:eastAsia="Times New Roman" w:hAnsi="Arial" w:cs="Arial"/>
          <w:sz w:val="20"/>
          <w:szCs w:val="20"/>
        </w:rPr>
      </w:pPr>
    </w:p>
    <w:p w14:paraId="7D03801F" w14:textId="77777777" w:rsidR="00C34A4D" w:rsidRDefault="00C34A4D" w:rsidP="00C34A4D">
      <w:pPr>
        <w:ind w:left="134"/>
        <w:rPr>
          <w:rFonts w:ascii="Arial" w:eastAsia="Times New Roman" w:hAnsi="Arial" w:cs="Arial"/>
          <w:sz w:val="20"/>
          <w:szCs w:val="20"/>
        </w:rPr>
      </w:pPr>
    </w:p>
    <w:p w14:paraId="775F07DD" w14:textId="1E7EAEC5" w:rsidR="00C34A4D" w:rsidRDefault="00C34A4D" w:rsidP="00C34A4D">
      <w:pPr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="Times New Roman" w:hAnsi="Arial" w:cs="Arial"/>
          <w:sz w:val="20"/>
          <w:szCs w:val="20"/>
        </w:rPr>
        <w:t>Data</w:t>
      </w:r>
      <w:r w:rsidRPr="008B2D3B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="Times New Roman" w:hAnsi="Arial" w:cs="Arial"/>
          <w:sz w:val="20"/>
          <w:szCs w:val="20"/>
        </w:rPr>
        <w:t>……/……/…………</w:t>
      </w:r>
    </w:p>
    <w:p w14:paraId="13BD95B6" w14:textId="77777777" w:rsidR="00C34A4D" w:rsidRDefault="00C34A4D" w:rsidP="00C34A4D">
      <w:pPr>
        <w:ind w:left="134"/>
        <w:rPr>
          <w:rFonts w:ascii="Arial" w:eastAsia="Times New Roman" w:hAnsi="Arial" w:cs="Arial"/>
          <w:sz w:val="20"/>
          <w:szCs w:val="20"/>
        </w:rPr>
      </w:pPr>
    </w:p>
    <w:p w14:paraId="6B25144C" w14:textId="77777777" w:rsidR="00C34A4D" w:rsidRDefault="00C34A4D" w:rsidP="00C34A4D">
      <w:pPr>
        <w:ind w:left="134"/>
        <w:rPr>
          <w:rFonts w:ascii="Arial" w:eastAsia="Times New Roman" w:hAnsi="Arial" w:cs="Arial"/>
          <w:sz w:val="20"/>
          <w:szCs w:val="20"/>
        </w:rPr>
      </w:pPr>
    </w:p>
    <w:p w14:paraId="088895C2" w14:textId="77777777" w:rsidR="00C34A4D" w:rsidRPr="008B2D3B" w:rsidRDefault="00C34A4D" w:rsidP="00C34A4D">
      <w:pPr>
        <w:ind w:left="134"/>
        <w:rPr>
          <w:rFonts w:ascii="Arial" w:eastAsia="Times New Roman" w:hAnsi="Arial" w:cs="Arial"/>
          <w:spacing w:val="-57"/>
          <w:sz w:val="20"/>
          <w:szCs w:val="20"/>
        </w:rPr>
      </w:pPr>
      <w:r w:rsidRPr="008B2D3B">
        <w:rPr>
          <w:rFonts w:ascii="Arial" w:eastAsia="Times New Roman" w:hAnsi="Arial" w:cs="Arial"/>
          <w:sz w:val="20"/>
          <w:szCs w:val="20"/>
        </w:rPr>
        <w:t xml:space="preserve">Il Legale rappresentante </w:t>
      </w:r>
    </w:p>
    <w:p w14:paraId="7AE5E78C" w14:textId="77777777" w:rsidR="00C34A4D" w:rsidRDefault="00C34A4D" w:rsidP="00C34A4D">
      <w:pPr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="Times New Roman" w:hAnsi="Arial" w:cs="Arial"/>
          <w:sz w:val="20"/>
          <w:szCs w:val="20"/>
        </w:rPr>
        <w:t>(</w:t>
      </w:r>
      <w:r w:rsidRPr="008B2D3B">
        <w:rPr>
          <w:rFonts w:ascii="Arial" w:eastAsia="Times New Roman" w:hAnsi="Arial" w:cs="Arial"/>
          <w:i/>
          <w:sz w:val="20"/>
          <w:szCs w:val="20"/>
        </w:rPr>
        <w:t>firmato</w:t>
      </w:r>
      <w:r w:rsidRPr="008B2D3B">
        <w:rPr>
          <w:rFonts w:ascii="Arial" w:eastAsia="Times New Roman" w:hAnsi="Arial" w:cs="Arial"/>
          <w:i/>
          <w:spacing w:val="-2"/>
          <w:sz w:val="20"/>
          <w:szCs w:val="20"/>
        </w:rPr>
        <w:t xml:space="preserve"> </w:t>
      </w:r>
      <w:r w:rsidRPr="008B2D3B">
        <w:rPr>
          <w:rFonts w:ascii="Arial" w:eastAsia="Times New Roman" w:hAnsi="Arial" w:cs="Arial"/>
          <w:i/>
          <w:sz w:val="20"/>
          <w:szCs w:val="20"/>
        </w:rPr>
        <w:t>digitalmente</w:t>
      </w:r>
      <w:r w:rsidRPr="008B2D3B">
        <w:rPr>
          <w:rFonts w:ascii="Arial" w:eastAsia="Times New Roman" w:hAnsi="Arial" w:cs="Arial"/>
          <w:sz w:val="20"/>
          <w:szCs w:val="20"/>
        </w:rPr>
        <w:t>)</w:t>
      </w:r>
    </w:p>
    <w:p w14:paraId="009170DA" w14:textId="77777777" w:rsidR="006F7BA5" w:rsidRDefault="006F7BA5" w:rsidP="00362295"/>
    <w:sectPr w:rsidR="006F7BA5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77B9" w14:textId="77777777" w:rsidR="00353A44" w:rsidRDefault="00B83853">
      <w:r>
        <w:separator/>
      </w:r>
    </w:p>
  </w:endnote>
  <w:endnote w:type="continuationSeparator" w:id="0">
    <w:p w14:paraId="4516B54D" w14:textId="77777777" w:rsidR="00353A44" w:rsidRDefault="00B8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F343" w14:textId="77777777" w:rsidR="00353A44" w:rsidRDefault="00B83853">
      <w:r>
        <w:separator/>
      </w:r>
    </w:p>
  </w:footnote>
  <w:footnote w:type="continuationSeparator" w:id="0">
    <w:p w14:paraId="0EE70EE5" w14:textId="77777777" w:rsidR="00353A44" w:rsidRDefault="00B8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7DDB" w14:textId="77777777" w:rsidR="008D50AA" w:rsidRDefault="008D50A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09F"/>
    <w:multiLevelType w:val="hybridMultilevel"/>
    <w:tmpl w:val="8638A284"/>
    <w:lvl w:ilvl="0" w:tplc="05B09E0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865EE"/>
    <w:multiLevelType w:val="hybridMultilevel"/>
    <w:tmpl w:val="36A0F104"/>
    <w:lvl w:ilvl="0" w:tplc="05B09E0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4718">
    <w:abstractNumId w:val="0"/>
  </w:num>
  <w:num w:numId="2" w16cid:durableId="204979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03"/>
    <w:rsid w:val="0008016D"/>
    <w:rsid w:val="000F7727"/>
    <w:rsid w:val="00353A44"/>
    <w:rsid w:val="00362295"/>
    <w:rsid w:val="004C312E"/>
    <w:rsid w:val="004F6E03"/>
    <w:rsid w:val="00617060"/>
    <w:rsid w:val="006F7BA5"/>
    <w:rsid w:val="00762FB4"/>
    <w:rsid w:val="008D50AA"/>
    <w:rsid w:val="00B83853"/>
    <w:rsid w:val="00C21B3F"/>
    <w:rsid w:val="00C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FF08"/>
  <w15:chartTrackingRefBased/>
  <w15:docId w15:val="{C79BBE06-66AD-4F7B-B9AF-A8906C43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E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F6E0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F6E03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4F6E0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72EC-B673-4DCF-BC83-EE73534F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Svilupp Umbria</cp:lastModifiedBy>
  <cp:revision>7</cp:revision>
  <dcterms:created xsi:type="dcterms:W3CDTF">2024-07-29T10:58:00Z</dcterms:created>
  <dcterms:modified xsi:type="dcterms:W3CDTF">2024-08-21T08:31:00Z</dcterms:modified>
</cp:coreProperties>
</file>